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45"/>
      </w:tblGrid>
      <w:tr w:rsidR="00D47E1C" w:rsidRPr="00D47E1C" w:rsidTr="00D47E1C">
        <w:tc>
          <w:tcPr>
            <w:tcW w:w="12135" w:type="dxa"/>
            <w:tcBorders>
              <w:top w:val="single" w:sz="2" w:space="0" w:color="auto"/>
              <w:left w:val="single" w:sz="2" w:space="0" w:color="auto"/>
              <w:bottom w:val="single" w:sz="2" w:space="0" w:color="auto"/>
              <w:right w:val="single" w:sz="2" w:space="0" w:color="auto"/>
            </w:tcBorders>
            <w:hideMark/>
          </w:tcPr>
          <w:p w:rsidR="00D47E1C" w:rsidRPr="00D47E1C" w:rsidRDefault="0026735C" w:rsidP="0026735C">
            <w:pPr>
              <w:widowControl w:val="0"/>
              <w:suppressAutoHyphens/>
              <w:jc w:val="center"/>
              <w:rPr>
                <w:rFonts w:ascii="Times New Roman" w:eastAsia="Times New Roman" w:hAnsi="Times New Roman" w:cs="Times New Roman"/>
                <w:sz w:val="24"/>
                <w:szCs w:val="24"/>
                <w:lang w:eastAsia="uk-UA"/>
              </w:rPr>
            </w:pPr>
            <w:r>
              <w:rPr>
                <w:noProof/>
                <w:sz w:val="20"/>
                <w:lang w:eastAsia="uk-UA"/>
              </w:rPr>
              <w:drawing>
                <wp:inline distT="0" distB="0" distL="0" distR="0">
                  <wp:extent cx="428625" cy="609600"/>
                  <wp:effectExtent l="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bookmarkStart w:id="0" w:name="_GoBack"/>
            <w:bookmarkEnd w:id="0"/>
            <w:r w:rsidR="00D47E1C">
              <w:rPr>
                <w:rFonts w:ascii="Times New Roman" w:eastAsia="Times New Roman" w:hAnsi="Times New Roman" w:cs="Times New Roman"/>
                <w:noProof/>
                <w:sz w:val="24"/>
                <w:szCs w:val="24"/>
                <w:lang w:eastAsia="uk-UA"/>
              </w:rPr>
              <mc:AlternateContent>
                <mc:Choice Requires="wps">
                  <w:drawing>
                    <wp:inline distT="0" distB="0" distL="0" distR="0" wp14:anchorId="397F9E02" wp14:editId="6FDD88E4">
                      <wp:extent cx="304800" cy="304800"/>
                      <wp:effectExtent l="0" t="0" r="0" b="0"/>
                      <wp:docPr id="1" name="Прямоугольник 1"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s://zakonst.rada.gov.ua/images/ger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7Xld&#10;nfsCAAD8BQAADgAAAAAAAAAAAAAAAAAuAgAAZHJzL2Uyb0RvYy54bWxQSwECLQAUAAYACAAAACEA&#10;TKDpLNgAAAADAQAADwAAAAAAAAAAAAAAAABVBQAAZHJzL2Rvd25yZXYueG1sUEsFBgAAAAAEAAQA&#10;8wAAAFoGAAAAAA==&#10;" filled="f" stroked="f">
                      <o:lock v:ext="edit" aspectratio="t"/>
                      <w10:anchorlock/>
                    </v:rect>
                  </w:pict>
                </mc:Fallback>
              </mc:AlternateContent>
            </w:r>
          </w:p>
        </w:tc>
      </w:tr>
      <w:tr w:rsidR="00D47E1C" w:rsidRPr="00D47E1C" w:rsidTr="00D47E1C">
        <w:tc>
          <w:tcPr>
            <w:tcW w:w="12135" w:type="dxa"/>
            <w:tcBorders>
              <w:top w:val="single" w:sz="2" w:space="0" w:color="auto"/>
              <w:left w:val="single" w:sz="2" w:space="0" w:color="auto"/>
              <w:bottom w:val="single" w:sz="2" w:space="0" w:color="auto"/>
              <w:right w:val="single" w:sz="2" w:space="0" w:color="auto"/>
            </w:tcBorders>
            <w:hideMark/>
          </w:tcPr>
          <w:p w:rsidR="00D47E1C" w:rsidRPr="00D47E1C" w:rsidRDefault="00D47E1C" w:rsidP="00D47E1C">
            <w:pPr>
              <w:spacing w:before="150" w:after="0" w:line="240" w:lineRule="auto"/>
              <w:jc w:val="center"/>
              <w:rPr>
                <w:rFonts w:ascii="Times New Roman" w:eastAsia="Times New Roman" w:hAnsi="Times New Roman" w:cs="Times New Roman"/>
                <w:sz w:val="24"/>
                <w:szCs w:val="24"/>
                <w:lang w:eastAsia="uk-UA"/>
              </w:rPr>
            </w:pPr>
            <w:r w:rsidRPr="00D47E1C">
              <w:rPr>
                <w:rFonts w:ascii="Times New Roman" w:eastAsia="Times New Roman" w:hAnsi="Times New Roman" w:cs="Times New Roman"/>
                <w:b/>
                <w:bCs/>
                <w:sz w:val="28"/>
                <w:szCs w:val="28"/>
                <w:lang w:eastAsia="uk-UA"/>
              </w:rPr>
              <w:t>МІНІСТЕРСТВО ФІНАНСІВ УКРАЇНИ</w:t>
            </w:r>
          </w:p>
        </w:tc>
      </w:tr>
      <w:tr w:rsidR="00D47E1C" w:rsidRPr="00D47E1C" w:rsidTr="00D47E1C">
        <w:tc>
          <w:tcPr>
            <w:tcW w:w="12135" w:type="dxa"/>
            <w:tcBorders>
              <w:top w:val="single" w:sz="2" w:space="0" w:color="auto"/>
              <w:left w:val="single" w:sz="2" w:space="0" w:color="auto"/>
              <w:bottom w:val="single" w:sz="2" w:space="0" w:color="auto"/>
              <w:right w:val="single" w:sz="2" w:space="0" w:color="auto"/>
            </w:tcBorders>
            <w:hideMark/>
          </w:tcPr>
          <w:p w:rsidR="00D47E1C" w:rsidRPr="00D47E1C" w:rsidRDefault="00D47E1C" w:rsidP="00D47E1C">
            <w:pPr>
              <w:spacing w:before="300" w:after="150" w:line="240" w:lineRule="auto"/>
              <w:jc w:val="center"/>
              <w:rPr>
                <w:rFonts w:ascii="Times New Roman" w:eastAsia="Times New Roman" w:hAnsi="Times New Roman" w:cs="Times New Roman"/>
                <w:sz w:val="24"/>
                <w:szCs w:val="24"/>
                <w:lang w:eastAsia="uk-UA"/>
              </w:rPr>
            </w:pPr>
            <w:r w:rsidRPr="00D47E1C">
              <w:rPr>
                <w:rFonts w:ascii="Times New Roman" w:eastAsia="Times New Roman" w:hAnsi="Times New Roman" w:cs="Times New Roman"/>
                <w:b/>
                <w:bCs/>
                <w:sz w:val="32"/>
                <w:szCs w:val="32"/>
                <w:lang w:eastAsia="uk-UA"/>
              </w:rPr>
              <w:t>НАКАЗ</w:t>
            </w:r>
          </w:p>
        </w:tc>
      </w:tr>
      <w:tr w:rsidR="00D47E1C" w:rsidRPr="00D47E1C" w:rsidTr="00D47E1C">
        <w:tc>
          <w:tcPr>
            <w:tcW w:w="12135" w:type="dxa"/>
            <w:tcBorders>
              <w:top w:val="single" w:sz="2" w:space="0" w:color="auto"/>
              <w:left w:val="single" w:sz="2" w:space="0" w:color="auto"/>
              <w:bottom w:val="single" w:sz="2" w:space="0" w:color="auto"/>
              <w:right w:val="single" w:sz="2" w:space="0" w:color="auto"/>
            </w:tcBorders>
            <w:hideMark/>
          </w:tcPr>
          <w:p w:rsidR="00D47E1C" w:rsidRPr="00D47E1C" w:rsidRDefault="00D47E1C" w:rsidP="00D47E1C">
            <w:pPr>
              <w:spacing w:before="150" w:after="150" w:line="240" w:lineRule="auto"/>
              <w:ind w:left="450" w:right="450"/>
              <w:jc w:val="center"/>
              <w:rPr>
                <w:rFonts w:ascii="Times New Roman" w:eastAsia="Times New Roman" w:hAnsi="Times New Roman" w:cs="Times New Roman"/>
                <w:sz w:val="24"/>
                <w:szCs w:val="24"/>
                <w:lang w:eastAsia="uk-UA"/>
              </w:rPr>
            </w:pPr>
            <w:r w:rsidRPr="00D47E1C">
              <w:rPr>
                <w:rFonts w:ascii="Times New Roman" w:eastAsia="Times New Roman" w:hAnsi="Times New Roman" w:cs="Times New Roman"/>
                <w:b/>
                <w:bCs/>
                <w:sz w:val="24"/>
                <w:szCs w:val="24"/>
                <w:lang w:eastAsia="uk-UA"/>
              </w:rPr>
              <w:t>02.01.2019  № 1</w:t>
            </w:r>
          </w:p>
        </w:tc>
      </w:tr>
    </w:tbl>
    <w:p w:rsidR="00D47E1C" w:rsidRPr="00D47E1C" w:rsidRDefault="00D47E1C" w:rsidP="00D47E1C">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 w:name="n3"/>
      <w:bookmarkEnd w:id="1"/>
      <w:r w:rsidRPr="00D47E1C">
        <w:rPr>
          <w:rFonts w:ascii="Times New Roman" w:eastAsia="Times New Roman" w:hAnsi="Times New Roman" w:cs="Times New Roman"/>
          <w:b/>
          <w:bCs/>
          <w:color w:val="333333"/>
          <w:sz w:val="32"/>
          <w:szCs w:val="32"/>
          <w:lang w:eastAsia="uk-UA"/>
        </w:rPr>
        <w:t xml:space="preserve">Про затвердження Методичних рекомендацій щодо впровадження та застосування </w:t>
      </w:r>
      <w:proofErr w:type="spellStart"/>
      <w:r w:rsidRPr="00D47E1C">
        <w:rPr>
          <w:rFonts w:ascii="Times New Roman" w:eastAsia="Times New Roman" w:hAnsi="Times New Roman" w:cs="Times New Roman"/>
          <w:b/>
          <w:bCs/>
          <w:color w:val="333333"/>
          <w:sz w:val="32"/>
          <w:szCs w:val="32"/>
          <w:lang w:eastAsia="uk-UA"/>
        </w:rPr>
        <w:t>гендерно</w:t>
      </w:r>
      <w:proofErr w:type="spellEnd"/>
      <w:r w:rsidRPr="00D47E1C">
        <w:rPr>
          <w:rFonts w:ascii="Times New Roman" w:eastAsia="Times New Roman" w:hAnsi="Times New Roman" w:cs="Times New Roman"/>
          <w:b/>
          <w:bCs/>
          <w:color w:val="333333"/>
          <w:sz w:val="32"/>
          <w:szCs w:val="32"/>
          <w:lang w:eastAsia="uk-UA"/>
        </w:rPr>
        <w:t xml:space="preserve"> орієнтованого підходу в бюджетному процесі</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 w:name="n4"/>
      <w:bookmarkEnd w:id="2"/>
      <w:r w:rsidRPr="00D47E1C">
        <w:rPr>
          <w:rFonts w:ascii="Times New Roman" w:eastAsia="Times New Roman" w:hAnsi="Times New Roman" w:cs="Times New Roman"/>
          <w:color w:val="333333"/>
          <w:sz w:val="24"/>
          <w:szCs w:val="24"/>
          <w:lang w:eastAsia="uk-UA"/>
        </w:rPr>
        <w:t>Відповідно до </w:t>
      </w:r>
      <w:hyperlink r:id="rId6" w:anchor="n327" w:tgtFrame="_blank" w:history="1">
        <w:r w:rsidRPr="00D47E1C">
          <w:rPr>
            <w:rFonts w:ascii="Times New Roman" w:eastAsia="Times New Roman" w:hAnsi="Times New Roman" w:cs="Times New Roman"/>
            <w:color w:val="000099"/>
            <w:sz w:val="24"/>
            <w:szCs w:val="24"/>
            <w:u w:val="single"/>
            <w:lang w:eastAsia="uk-UA"/>
          </w:rPr>
          <w:t>частини другої</w:t>
        </w:r>
      </w:hyperlink>
      <w:r w:rsidRPr="00D47E1C">
        <w:rPr>
          <w:rFonts w:ascii="Times New Roman" w:eastAsia="Times New Roman" w:hAnsi="Times New Roman" w:cs="Times New Roman"/>
          <w:color w:val="333333"/>
          <w:sz w:val="24"/>
          <w:szCs w:val="24"/>
          <w:lang w:eastAsia="uk-UA"/>
        </w:rPr>
        <w:t> розділу III Стратегії реформування системи управління державними фінансами на 2017-2019 роки, схваленої розпорядженням Кабінету Міністрів України від 08 лютого 2017 року № 142-р, та з метою подальшого розвитку програмно-цільового методу у бюджетному процесі </w:t>
      </w:r>
      <w:r w:rsidRPr="00D47E1C">
        <w:rPr>
          <w:rFonts w:ascii="Times New Roman" w:eastAsia="Times New Roman" w:hAnsi="Times New Roman" w:cs="Times New Roman"/>
          <w:b/>
          <w:bCs/>
          <w:color w:val="333333"/>
          <w:spacing w:val="30"/>
          <w:sz w:val="24"/>
          <w:szCs w:val="24"/>
          <w:lang w:eastAsia="uk-UA"/>
        </w:rPr>
        <w:t>НАКАЗУЮ:</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5"/>
      <w:bookmarkEnd w:id="3"/>
      <w:r w:rsidRPr="00D47E1C">
        <w:rPr>
          <w:rFonts w:ascii="Times New Roman" w:eastAsia="Times New Roman" w:hAnsi="Times New Roman" w:cs="Times New Roman"/>
          <w:color w:val="333333"/>
          <w:sz w:val="24"/>
          <w:szCs w:val="24"/>
          <w:lang w:eastAsia="uk-UA"/>
        </w:rPr>
        <w:t>1. Затвердити </w:t>
      </w:r>
      <w:hyperlink r:id="rId7" w:anchor="n11" w:history="1">
        <w:r w:rsidRPr="00D47E1C">
          <w:rPr>
            <w:rFonts w:ascii="Times New Roman" w:eastAsia="Times New Roman" w:hAnsi="Times New Roman" w:cs="Times New Roman"/>
            <w:color w:val="006600"/>
            <w:sz w:val="24"/>
            <w:szCs w:val="24"/>
            <w:u w:val="single"/>
            <w:lang w:eastAsia="uk-UA"/>
          </w:rPr>
          <w:t xml:space="preserve">Методичні рекомендації щодо впровадження та застосування </w:t>
        </w:r>
        <w:proofErr w:type="spellStart"/>
        <w:r w:rsidRPr="00D47E1C">
          <w:rPr>
            <w:rFonts w:ascii="Times New Roman" w:eastAsia="Times New Roman" w:hAnsi="Times New Roman" w:cs="Times New Roman"/>
            <w:color w:val="006600"/>
            <w:sz w:val="24"/>
            <w:szCs w:val="24"/>
            <w:u w:val="single"/>
            <w:lang w:eastAsia="uk-UA"/>
          </w:rPr>
          <w:t>гендерно</w:t>
        </w:r>
        <w:proofErr w:type="spellEnd"/>
        <w:r w:rsidRPr="00D47E1C">
          <w:rPr>
            <w:rFonts w:ascii="Times New Roman" w:eastAsia="Times New Roman" w:hAnsi="Times New Roman" w:cs="Times New Roman"/>
            <w:color w:val="006600"/>
            <w:sz w:val="24"/>
            <w:szCs w:val="24"/>
            <w:u w:val="single"/>
            <w:lang w:eastAsia="uk-UA"/>
          </w:rPr>
          <w:t xml:space="preserve"> орієнтованого підходу в бюджетному процесі</w:t>
        </w:r>
      </w:hyperlink>
      <w:r w:rsidRPr="00D47E1C">
        <w:rPr>
          <w:rFonts w:ascii="Times New Roman" w:eastAsia="Times New Roman" w:hAnsi="Times New Roman" w:cs="Times New Roman"/>
          <w:color w:val="333333"/>
          <w:sz w:val="24"/>
          <w:szCs w:val="24"/>
          <w:lang w:eastAsia="uk-UA"/>
        </w:rPr>
        <w:t>, що додаються.</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6"/>
      <w:bookmarkEnd w:id="4"/>
      <w:r w:rsidRPr="00D47E1C">
        <w:rPr>
          <w:rFonts w:ascii="Times New Roman" w:eastAsia="Times New Roman" w:hAnsi="Times New Roman" w:cs="Times New Roman"/>
          <w:color w:val="333333"/>
          <w:sz w:val="24"/>
          <w:szCs w:val="24"/>
          <w:lang w:eastAsia="uk-UA"/>
        </w:rPr>
        <w:t>2. Департаменту державного бюджету забезпечити доведення цього наказу до головних розпорядників коштів державного бюджету.</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7"/>
      <w:bookmarkEnd w:id="5"/>
      <w:r w:rsidRPr="00D47E1C">
        <w:rPr>
          <w:rFonts w:ascii="Times New Roman" w:eastAsia="Times New Roman" w:hAnsi="Times New Roman" w:cs="Times New Roman"/>
          <w:color w:val="333333"/>
          <w:sz w:val="24"/>
          <w:szCs w:val="24"/>
          <w:lang w:eastAsia="uk-UA"/>
        </w:rPr>
        <w:t>3. Департаменту забезпечення комунікацій та організаційно-аналітичної роботи забезпечити оприлюднення цього наказу на офіційному сайті Міністерства фінансів України.</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8"/>
      <w:bookmarkEnd w:id="6"/>
      <w:r w:rsidRPr="00D47E1C">
        <w:rPr>
          <w:rFonts w:ascii="Times New Roman" w:eastAsia="Times New Roman" w:hAnsi="Times New Roman" w:cs="Times New Roman"/>
          <w:color w:val="333333"/>
          <w:sz w:val="24"/>
          <w:szCs w:val="24"/>
          <w:lang w:eastAsia="uk-UA"/>
        </w:rPr>
        <w:t>4. Контроль за виконанням цього наказу залишаю за собою.</w:t>
      </w:r>
    </w:p>
    <w:tbl>
      <w:tblPr>
        <w:tblW w:w="5000" w:type="pct"/>
        <w:tblCellMar>
          <w:left w:w="0" w:type="dxa"/>
          <w:right w:w="0" w:type="dxa"/>
        </w:tblCellMar>
        <w:tblLook w:val="04A0" w:firstRow="1" w:lastRow="0" w:firstColumn="1" w:lastColumn="0" w:noHBand="0" w:noVBand="1"/>
      </w:tblPr>
      <w:tblGrid>
        <w:gridCol w:w="4051"/>
        <w:gridCol w:w="5594"/>
      </w:tblGrid>
      <w:tr w:rsidR="00D47E1C" w:rsidRPr="00D47E1C" w:rsidTr="00D47E1C">
        <w:tc>
          <w:tcPr>
            <w:tcW w:w="2100" w:type="pct"/>
            <w:tcBorders>
              <w:top w:val="single" w:sz="2" w:space="0" w:color="auto"/>
              <w:left w:val="single" w:sz="2" w:space="0" w:color="auto"/>
              <w:bottom w:val="single" w:sz="2" w:space="0" w:color="auto"/>
              <w:right w:val="single" w:sz="2" w:space="0" w:color="auto"/>
            </w:tcBorders>
            <w:hideMark/>
          </w:tcPr>
          <w:p w:rsidR="00D47E1C" w:rsidRPr="00D47E1C" w:rsidRDefault="00D47E1C" w:rsidP="00D47E1C">
            <w:pPr>
              <w:spacing w:before="300" w:after="150" w:line="240" w:lineRule="auto"/>
              <w:jc w:val="center"/>
              <w:rPr>
                <w:rFonts w:ascii="Times New Roman" w:eastAsia="Times New Roman" w:hAnsi="Times New Roman" w:cs="Times New Roman"/>
                <w:sz w:val="24"/>
                <w:szCs w:val="24"/>
                <w:lang w:eastAsia="uk-UA"/>
              </w:rPr>
            </w:pPr>
            <w:bookmarkStart w:id="7" w:name="n9"/>
            <w:bookmarkEnd w:id="7"/>
            <w:r w:rsidRPr="00D47E1C">
              <w:rPr>
                <w:rFonts w:ascii="Times New Roman" w:eastAsia="Times New Roman" w:hAnsi="Times New Roman" w:cs="Times New Roman"/>
                <w:b/>
                <w:bCs/>
                <w:sz w:val="24"/>
                <w:szCs w:val="24"/>
                <w:lang w:eastAsia="uk-UA"/>
              </w:rPr>
              <w:t>Міністр</w:t>
            </w:r>
          </w:p>
        </w:tc>
        <w:tc>
          <w:tcPr>
            <w:tcW w:w="3500" w:type="pct"/>
            <w:tcBorders>
              <w:top w:val="single" w:sz="2" w:space="0" w:color="auto"/>
              <w:left w:val="single" w:sz="2" w:space="0" w:color="auto"/>
              <w:bottom w:val="single" w:sz="2" w:space="0" w:color="auto"/>
              <w:right w:val="single" w:sz="2" w:space="0" w:color="auto"/>
            </w:tcBorders>
            <w:hideMark/>
          </w:tcPr>
          <w:p w:rsidR="00D47E1C" w:rsidRPr="00D47E1C" w:rsidRDefault="00D47E1C" w:rsidP="00D47E1C">
            <w:pPr>
              <w:spacing w:before="300" w:after="0" w:line="240" w:lineRule="auto"/>
              <w:jc w:val="right"/>
              <w:rPr>
                <w:rFonts w:ascii="Times New Roman" w:eastAsia="Times New Roman" w:hAnsi="Times New Roman" w:cs="Times New Roman"/>
                <w:sz w:val="24"/>
                <w:szCs w:val="24"/>
                <w:lang w:eastAsia="uk-UA"/>
              </w:rPr>
            </w:pPr>
            <w:r w:rsidRPr="00D47E1C">
              <w:rPr>
                <w:rFonts w:ascii="Times New Roman" w:eastAsia="Times New Roman" w:hAnsi="Times New Roman" w:cs="Times New Roman"/>
                <w:b/>
                <w:bCs/>
                <w:sz w:val="24"/>
                <w:szCs w:val="24"/>
                <w:lang w:eastAsia="uk-UA"/>
              </w:rPr>
              <w:t xml:space="preserve">О. </w:t>
            </w:r>
            <w:proofErr w:type="spellStart"/>
            <w:r w:rsidRPr="00D47E1C">
              <w:rPr>
                <w:rFonts w:ascii="Times New Roman" w:eastAsia="Times New Roman" w:hAnsi="Times New Roman" w:cs="Times New Roman"/>
                <w:b/>
                <w:bCs/>
                <w:sz w:val="24"/>
                <w:szCs w:val="24"/>
                <w:lang w:eastAsia="uk-UA"/>
              </w:rPr>
              <w:t>Маркарова</w:t>
            </w:r>
            <w:proofErr w:type="spellEnd"/>
          </w:p>
        </w:tc>
      </w:tr>
    </w:tbl>
    <w:p w:rsidR="00D47E1C" w:rsidRPr="00D47E1C" w:rsidRDefault="0026735C" w:rsidP="00D47E1C">
      <w:pPr>
        <w:spacing w:after="0" w:line="240" w:lineRule="auto"/>
        <w:rPr>
          <w:rFonts w:ascii="Times New Roman" w:eastAsia="Times New Roman" w:hAnsi="Times New Roman" w:cs="Times New Roman"/>
          <w:sz w:val="24"/>
          <w:szCs w:val="24"/>
          <w:lang w:eastAsia="uk-UA"/>
        </w:rPr>
      </w:pPr>
      <w:bookmarkStart w:id="8" w:name="n105"/>
      <w:bookmarkEnd w:id="8"/>
      <w:r>
        <w:rPr>
          <w:rFonts w:ascii="Times New Roman" w:eastAsia="Times New Roman" w:hAnsi="Times New Roman" w:cs="Times New Roman"/>
          <w:sz w:val="24"/>
          <w:szCs w:val="24"/>
          <w:lang w:eastAsia="uk-UA"/>
        </w:rPr>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787"/>
        <w:gridCol w:w="3858"/>
      </w:tblGrid>
      <w:tr w:rsidR="00D47E1C" w:rsidRPr="00D47E1C" w:rsidTr="00D47E1C">
        <w:tc>
          <w:tcPr>
            <w:tcW w:w="3000" w:type="pct"/>
            <w:tcBorders>
              <w:top w:val="single" w:sz="2" w:space="0" w:color="auto"/>
              <w:left w:val="single" w:sz="2" w:space="0" w:color="auto"/>
              <w:bottom w:val="single" w:sz="2" w:space="0" w:color="auto"/>
              <w:right w:val="single" w:sz="2" w:space="0" w:color="auto"/>
            </w:tcBorders>
            <w:hideMark/>
          </w:tcPr>
          <w:p w:rsidR="00D47E1C" w:rsidRPr="00D47E1C" w:rsidRDefault="00D47E1C" w:rsidP="00D47E1C">
            <w:pPr>
              <w:spacing w:before="150" w:after="150" w:line="240" w:lineRule="auto"/>
              <w:rPr>
                <w:rFonts w:ascii="Times New Roman" w:eastAsia="Times New Roman" w:hAnsi="Times New Roman" w:cs="Times New Roman"/>
                <w:sz w:val="24"/>
                <w:szCs w:val="24"/>
                <w:lang w:eastAsia="uk-UA"/>
              </w:rPr>
            </w:pPr>
            <w:bookmarkStart w:id="9" w:name="n10"/>
            <w:bookmarkEnd w:id="9"/>
            <w:r w:rsidRPr="00D47E1C">
              <w:rPr>
                <w:rFonts w:ascii="Times New Roman" w:eastAsia="Times New Roman" w:hAnsi="Times New Roman" w:cs="Times New Roman"/>
                <w:b/>
                <w:bCs/>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D47E1C" w:rsidRPr="00D47E1C" w:rsidRDefault="00D47E1C" w:rsidP="00D47E1C">
            <w:pPr>
              <w:spacing w:before="150" w:after="150" w:line="240" w:lineRule="auto"/>
              <w:rPr>
                <w:rFonts w:ascii="Times New Roman" w:eastAsia="Times New Roman" w:hAnsi="Times New Roman" w:cs="Times New Roman"/>
                <w:sz w:val="24"/>
                <w:szCs w:val="24"/>
                <w:lang w:eastAsia="uk-UA"/>
              </w:rPr>
            </w:pPr>
            <w:r w:rsidRPr="00D47E1C">
              <w:rPr>
                <w:rFonts w:ascii="Times New Roman" w:eastAsia="Times New Roman" w:hAnsi="Times New Roman" w:cs="Times New Roman"/>
                <w:b/>
                <w:bCs/>
                <w:sz w:val="24"/>
                <w:szCs w:val="24"/>
                <w:lang w:eastAsia="uk-UA"/>
              </w:rPr>
              <w:t>ЗАТВЕРДЖЕНО</w:t>
            </w:r>
            <w:r w:rsidRPr="00D47E1C">
              <w:rPr>
                <w:rFonts w:ascii="Times New Roman" w:eastAsia="Times New Roman" w:hAnsi="Times New Roman" w:cs="Times New Roman"/>
                <w:sz w:val="24"/>
                <w:szCs w:val="24"/>
                <w:lang w:eastAsia="uk-UA"/>
              </w:rPr>
              <w:br/>
            </w:r>
            <w:r w:rsidRPr="00D47E1C">
              <w:rPr>
                <w:rFonts w:ascii="Times New Roman" w:eastAsia="Times New Roman" w:hAnsi="Times New Roman" w:cs="Times New Roman"/>
                <w:b/>
                <w:bCs/>
                <w:sz w:val="24"/>
                <w:szCs w:val="24"/>
                <w:lang w:eastAsia="uk-UA"/>
              </w:rPr>
              <w:t>Наказ Міністерства</w:t>
            </w:r>
            <w:r w:rsidRPr="00D47E1C">
              <w:rPr>
                <w:rFonts w:ascii="Times New Roman" w:eastAsia="Times New Roman" w:hAnsi="Times New Roman" w:cs="Times New Roman"/>
                <w:sz w:val="24"/>
                <w:szCs w:val="24"/>
                <w:lang w:eastAsia="uk-UA"/>
              </w:rPr>
              <w:br/>
            </w:r>
            <w:r w:rsidRPr="00D47E1C">
              <w:rPr>
                <w:rFonts w:ascii="Times New Roman" w:eastAsia="Times New Roman" w:hAnsi="Times New Roman" w:cs="Times New Roman"/>
                <w:b/>
                <w:bCs/>
                <w:sz w:val="24"/>
                <w:szCs w:val="24"/>
                <w:lang w:eastAsia="uk-UA"/>
              </w:rPr>
              <w:t>фінансів України</w:t>
            </w:r>
            <w:r w:rsidRPr="00D47E1C">
              <w:rPr>
                <w:rFonts w:ascii="Times New Roman" w:eastAsia="Times New Roman" w:hAnsi="Times New Roman" w:cs="Times New Roman"/>
                <w:sz w:val="24"/>
                <w:szCs w:val="24"/>
                <w:lang w:eastAsia="uk-UA"/>
              </w:rPr>
              <w:br/>
            </w:r>
            <w:r w:rsidRPr="00D47E1C">
              <w:rPr>
                <w:rFonts w:ascii="Times New Roman" w:eastAsia="Times New Roman" w:hAnsi="Times New Roman" w:cs="Times New Roman"/>
                <w:b/>
                <w:bCs/>
                <w:sz w:val="24"/>
                <w:szCs w:val="24"/>
                <w:lang w:eastAsia="uk-UA"/>
              </w:rPr>
              <w:t>02 січня 2019 року № 1</w:t>
            </w:r>
          </w:p>
        </w:tc>
      </w:tr>
    </w:tbl>
    <w:p w:rsidR="00D47E1C" w:rsidRPr="00D47E1C" w:rsidRDefault="00D47E1C" w:rsidP="00D47E1C">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0" w:name="n11"/>
      <w:bookmarkEnd w:id="10"/>
      <w:r w:rsidRPr="00D47E1C">
        <w:rPr>
          <w:rFonts w:ascii="Times New Roman" w:eastAsia="Times New Roman" w:hAnsi="Times New Roman" w:cs="Times New Roman"/>
          <w:b/>
          <w:bCs/>
          <w:color w:val="333333"/>
          <w:sz w:val="32"/>
          <w:szCs w:val="32"/>
          <w:lang w:eastAsia="uk-UA"/>
        </w:rPr>
        <w:t>МЕТОДИЧНІ РЕКОМЕНДАЦІЇ</w:t>
      </w:r>
      <w:r w:rsidRPr="00D47E1C">
        <w:rPr>
          <w:rFonts w:ascii="Times New Roman" w:eastAsia="Times New Roman" w:hAnsi="Times New Roman" w:cs="Times New Roman"/>
          <w:color w:val="333333"/>
          <w:sz w:val="24"/>
          <w:szCs w:val="24"/>
          <w:lang w:eastAsia="uk-UA"/>
        </w:rPr>
        <w:br/>
      </w:r>
      <w:r w:rsidRPr="00D47E1C">
        <w:rPr>
          <w:rFonts w:ascii="Times New Roman" w:eastAsia="Times New Roman" w:hAnsi="Times New Roman" w:cs="Times New Roman"/>
          <w:b/>
          <w:bCs/>
          <w:color w:val="333333"/>
          <w:sz w:val="32"/>
          <w:szCs w:val="32"/>
          <w:lang w:eastAsia="uk-UA"/>
        </w:rPr>
        <w:t xml:space="preserve">щодо впровадження та застосування </w:t>
      </w:r>
      <w:proofErr w:type="spellStart"/>
      <w:r w:rsidRPr="00D47E1C">
        <w:rPr>
          <w:rFonts w:ascii="Times New Roman" w:eastAsia="Times New Roman" w:hAnsi="Times New Roman" w:cs="Times New Roman"/>
          <w:b/>
          <w:bCs/>
          <w:color w:val="333333"/>
          <w:sz w:val="32"/>
          <w:szCs w:val="32"/>
          <w:lang w:eastAsia="uk-UA"/>
        </w:rPr>
        <w:t>гендерно</w:t>
      </w:r>
      <w:proofErr w:type="spellEnd"/>
      <w:r w:rsidRPr="00D47E1C">
        <w:rPr>
          <w:rFonts w:ascii="Times New Roman" w:eastAsia="Times New Roman" w:hAnsi="Times New Roman" w:cs="Times New Roman"/>
          <w:b/>
          <w:bCs/>
          <w:color w:val="333333"/>
          <w:sz w:val="32"/>
          <w:szCs w:val="32"/>
          <w:lang w:eastAsia="uk-UA"/>
        </w:rPr>
        <w:t xml:space="preserve"> орієнтованого підходу в бюджетному процесі</w:t>
      </w:r>
    </w:p>
    <w:p w:rsidR="00D47E1C" w:rsidRPr="00D47E1C" w:rsidRDefault="00D47E1C" w:rsidP="00D47E1C">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1" w:name="n12"/>
      <w:bookmarkEnd w:id="11"/>
      <w:r w:rsidRPr="00D47E1C">
        <w:rPr>
          <w:rFonts w:ascii="Times New Roman" w:eastAsia="Times New Roman" w:hAnsi="Times New Roman" w:cs="Times New Roman"/>
          <w:b/>
          <w:bCs/>
          <w:color w:val="333333"/>
          <w:sz w:val="28"/>
          <w:szCs w:val="28"/>
          <w:lang w:eastAsia="uk-UA"/>
        </w:rPr>
        <w:t>I. Загальні положення</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13"/>
      <w:bookmarkEnd w:id="12"/>
      <w:r w:rsidRPr="00D47E1C">
        <w:rPr>
          <w:rFonts w:ascii="Times New Roman" w:eastAsia="Times New Roman" w:hAnsi="Times New Roman" w:cs="Times New Roman"/>
          <w:color w:val="333333"/>
          <w:sz w:val="24"/>
          <w:szCs w:val="24"/>
          <w:lang w:eastAsia="uk-UA"/>
        </w:rPr>
        <w:t>1. Ці Методичні рекомендації розроблено відповідно до частини другої "Програмно-цільовий метод" </w:t>
      </w:r>
      <w:hyperlink r:id="rId8" w:anchor="n283" w:tgtFrame="_blank" w:history="1">
        <w:r w:rsidRPr="00D47E1C">
          <w:rPr>
            <w:rFonts w:ascii="Times New Roman" w:eastAsia="Times New Roman" w:hAnsi="Times New Roman" w:cs="Times New Roman"/>
            <w:color w:val="000099"/>
            <w:sz w:val="24"/>
            <w:szCs w:val="24"/>
            <w:u w:val="single"/>
            <w:lang w:eastAsia="uk-UA"/>
          </w:rPr>
          <w:t>розділу III</w:t>
        </w:r>
      </w:hyperlink>
      <w:r w:rsidRPr="00D47E1C">
        <w:rPr>
          <w:rFonts w:ascii="Times New Roman" w:eastAsia="Times New Roman" w:hAnsi="Times New Roman" w:cs="Times New Roman"/>
          <w:color w:val="333333"/>
          <w:sz w:val="24"/>
          <w:szCs w:val="24"/>
          <w:lang w:eastAsia="uk-UA"/>
        </w:rPr>
        <w:t xml:space="preserve"> Підвищення ефективності розподілу ресурсів на рівні формування державної політики Стратегії реформування системи управління державними фінансами на 2017-2020 роки, схваленої розпорядженням Кабінету Міністрів України від 08.02.2017 № 142-р, та з метою подальшого розвитку програмно-цільового методу у </w:t>
      </w:r>
      <w:r w:rsidRPr="00D47E1C">
        <w:rPr>
          <w:rFonts w:ascii="Times New Roman" w:eastAsia="Times New Roman" w:hAnsi="Times New Roman" w:cs="Times New Roman"/>
          <w:color w:val="333333"/>
          <w:sz w:val="24"/>
          <w:szCs w:val="24"/>
          <w:lang w:eastAsia="uk-UA"/>
        </w:rPr>
        <w:lastRenderedPageBreak/>
        <w:t xml:space="preserve">бюджетному процесі шляхом впровадження та застосування </w:t>
      </w:r>
      <w:proofErr w:type="spellStart"/>
      <w:r w:rsidRPr="00D47E1C">
        <w:rPr>
          <w:rFonts w:ascii="Times New Roman" w:eastAsia="Times New Roman" w:hAnsi="Times New Roman" w:cs="Times New Roman"/>
          <w:color w:val="333333"/>
          <w:sz w:val="24"/>
          <w:szCs w:val="24"/>
          <w:lang w:eastAsia="uk-UA"/>
        </w:rPr>
        <w:t>гендерно</w:t>
      </w:r>
      <w:proofErr w:type="spellEnd"/>
      <w:r w:rsidRPr="00D47E1C">
        <w:rPr>
          <w:rFonts w:ascii="Times New Roman" w:eastAsia="Times New Roman" w:hAnsi="Times New Roman" w:cs="Times New Roman"/>
          <w:color w:val="333333"/>
          <w:sz w:val="24"/>
          <w:szCs w:val="24"/>
          <w:lang w:eastAsia="uk-UA"/>
        </w:rPr>
        <w:t xml:space="preserve"> орієнтованого підходу у бюджетний процес.</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14"/>
      <w:bookmarkEnd w:id="13"/>
      <w:r w:rsidRPr="00D47E1C">
        <w:rPr>
          <w:rFonts w:ascii="Times New Roman" w:eastAsia="Times New Roman" w:hAnsi="Times New Roman" w:cs="Times New Roman"/>
          <w:color w:val="333333"/>
          <w:sz w:val="24"/>
          <w:szCs w:val="24"/>
          <w:lang w:eastAsia="uk-UA"/>
        </w:rPr>
        <w:t>2. Ці Методичні рекомендації можуть бути використані головними розпорядниками бюджетних коштів (далі - головні розпорядники) та іншими учасниками бюджетного процесу для врахування гендерних аспектів у процесі планування, виконання та звітування про виконання бюджетних програм.</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15"/>
      <w:bookmarkEnd w:id="14"/>
      <w:r w:rsidRPr="00D47E1C">
        <w:rPr>
          <w:rFonts w:ascii="Times New Roman" w:eastAsia="Times New Roman" w:hAnsi="Times New Roman" w:cs="Times New Roman"/>
          <w:color w:val="333333"/>
          <w:sz w:val="24"/>
          <w:szCs w:val="24"/>
          <w:lang w:eastAsia="uk-UA"/>
        </w:rPr>
        <w:t>3. У цих Методичних рекомендаціях наведені нижче терміни вживаються у такому значенні:</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16"/>
      <w:bookmarkEnd w:id="15"/>
      <w:r w:rsidRPr="00D47E1C">
        <w:rPr>
          <w:rFonts w:ascii="Times New Roman" w:eastAsia="Times New Roman" w:hAnsi="Times New Roman" w:cs="Times New Roman"/>
          <w:color w:val="333333"/>
          <w:sz w:val="24"/>
          <w:szCs w:val="24"/>
          <w:lang w:eastAsia="uk-UA"/>
        </w:rPr>
        <w:t>Гендерні аспекти - специфічні соціальні, культурні, економічні, політичні та інші характеристики умов життя та потреб жінок і чоловіків.</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17"/>
      <w:bookmarkEnd w:id="16"/>
      <w:proofErr w:type="spellStart"/>
      <w:r w:rsidRPr="00D47E1C">
        <w:rPr>
          <w:rFonts w:ascii="Times New Roman" w:eastAsia="Times New Roman" w:hAnsi="Times New Roman" w:cs="Times New Roman"/>
          <w:color w:val="333333"/>
          <w:sz w:val="24"/>
          <w:szCs w:val="24"/>
          <w:lang w:eastAsia="uk-UA"/>
        </w:rPr>
        <w:t>Гендерно</w:t>
      </w:r>
      <w:proofErr w:type="spellEnd"/>
      <w:r w:rsidRPr="00D47E1C">
        <w:rPr>
          <w:rFonts w:ascii="Times New Roman" w:eastAsia="Times New Roman" w:hAnsi="Times New Roman" w:cs="Times New Roman"/>
          <w:color w:val="333333"/>
          <w:sz w:val="24"/>
          <w:szCs w:val="24"/>
          <w:lang w:eastAsia="uk-UA"/>
        </w:rPr>
        <w:t xml:space="preserve"> орієнтований підхід у бюджетному процесі - врахування гендерних аспектів на усіх стадіях бюджетного процесу та висвітлення у відповідних бюджетних документах цілеспрямованості на забезпечення рівних прав і можливостей жінок і чоловіків (гендерної рівності).</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18"/>
      <w:bookmarkEnd w:id="17"/>
      <w:proofErr w:type="spellStart"/>
      <w:r w:rsidRPr="00D47E1C">
        <w:rPr>
          <w:rFonts w:ascii="Times New Roman" w:eastAsia="Times New Roman" w:hAnsi="Times New Roman" w:cs="Times New Roman"/>
          <w:color w:val="333333"/>
          <w:sz w:val="24"/>
          <w:szCs w:val="24"/>
          <w:lang w:eastAsia="uk-UA"/>
        </w:rPr>
        <w:t>Гендерно</w:t>
      </w:r>
      <w:proofErr w:type="spellEnd"/>
      <w:r w:rsidRPr="00D47E1C">
        <w:rPr>
          <w:rFonts w:ascii="Times New Roman" w:eastAsia="Times New Roman" w:hAnsi="Times New Roman" w:cs="Times New Roman"/>
          <w:color w:val="333333"/>
          <w:sz w:val="24"/>
          <w:szCs w:val="24"/>
          <w:lang w:eastAsia="uk-UA"/>
        </w:rPr>
        <w:t xml:space="preserve"> чутлива бюджетна програма - бюджетна програма, яка враховує гендерний аспект і містить кількісні та якісні характеристики щодо цілеспрямованості на забезпечення гендерної рівності: зменшення гендерних розривів, усунення гендерної дискримінації, послаблення негативних чи посилення позитивних тенденцій у відповідній сфері/галузі з точки зору забезпечення гендерних потреб та задоволення гендерних інтересів. Головний розпорядник має прагнути врахувати гендерний аспект при визначенні обсягу та якості усіх публічних послуг, що надаються в межах бюджетної програми.</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19"/>
      <w:bookmarkEnd w:id="18"/>
      <w:proofErr w:type="spellStart"/>
      <w:r w:rsidRPr="00D47E1C">
        <w:rPr>
          <w:rFonts w:ascii="Times New Roman" w:eastAsia="Times New Roman" w:hAnsi="Times New Roman" w:cs="Times New Roman"/>
          <w:color w:val="333333"/>
          <w:sz w:val="24"/>
          <w:szCs w:val="24"/>
          <w:lang w:eastAsia="uk-UA"/>
        </w:rPr>
        <w:t>Гендерно</w:t>
      </w:r>
      <w:proofErr w:type="spellEnd"/>
      <w:r w:rsidRPr="00D47E1C">
        <w:rPr>
          <w:rFonts w:ascii="Times New Roman" w:eastAsia="Times New Roman" w:hAnsi="Times New Roman" w:cs="Times New Roman"/>
          <w:color w:val="333333"/>
          <w:sz w:val="24"/>
          <w:szCs w:val="24"/>
          <w:lang w:eastAsia="uk-UA"/>
        </w:rPr>
        <w:t xml:space="preserve"> нейтральна бюджетна програма - бюджетна програма, яка за результатами гендерного аналізу визнана такою, що потребує вжиття додаткових заходів (досліджень) для врахування гендерного аспекту.</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20"/>
      <w:bookmarkEnd w:id="19"/>
      <w:r w:rsidRPr="00D47E1C">
        <w:rPr>
          <w:rFonts w:ascii="Times New Roman" w:eastAsia="Times New Roman" w:hAnsi="Times New Roman" w:cs="Times New Roman"/>
          <w:color w:val="333333"/>
          <w:sz w:val="24"/>
          <w:szCs w:val="24"/>
          <w:lang w:eastAsia="uk-UA"/>
        </w:rPr>
        <w:t xml:space="preserve">Бюджетна програма відноситься до </w:t>
      </w:r>
      <w:proofErr w:type="spellStart"/>
      <w:r w:rsidRPr="00D47E1C">
        <w:rPr>
          <w:rFonts w:ascii="Times New Roman" w:eastAsia="Times New Roman" w:hAnsi="Times New Roman" w:cs="Times New Roman"/>
          <w:color w:val="333333"/>
          <w:sz w:val="24"/>
          <w:szCs w:val="24"/>
          <w:lang w:eastAsia="uk-UA"/>
        </w:rPr>
        <w:t>гендерно</w:t>
      </w:r>
      <w:proofErr w:type="spellEnd"/>
      <w:r w:rsidRPr="00D47E1C">
        <w:rPr>
          <w:rFonts w:ascii="Times New Roman" w:eastAsia="Times New Roman" w:hAnsi="Times New Roman" w:cs="Times New Roman"/>
          <w:color w:val="333333"/>
          <w:sz w:val="24"/>
          <w:szCs w:val="24"/>
          <w:lang w:eastAsia="uk-UA"/>
        </w:rPr>
        <w:t xml:space="preserve"> чутливої або </w:t>
      </w:r>
      <w:proofErr w:type="spellStart"/>
      <w:r w:rsidRPr="00D47E1C">
        <w:rPr>
          <w:rFonts w:ascii="Times New Roman" w:eastAsia="Times New Roman" w:hAnsi="Times New Roman" w:cs="Times New Roman"/>
          <w:color w:val="333333"/>
          <w:sz w:val="24"/>
          <w:szCs w:val="24"/>
          <w:lang w:eastAsia="uk-UA"/>
        </w:rPr>
        <w:t>гендерно</w:t>
      </w:r>
      <w:proofErr w:type="spellEnd"/>
      <w:r w:rsidRPr="00D47E1C">
        <w:rPr>
          <w:rFonts w:ascii="Times New Roman" w:eastAsia="Times New Roman" w:hAnsi="Times New Roman" w:cs="Times New Roman"/>
          <w:color w:val="333333"/>
          <w:sz w:val="24"/>
          <w:szCs w:val="24"/>
          <w:lang w:eastAsia="uk-UA"/>
        </w:rPr>
        <w:t xml:space="preserve"> нейтральної виключно за результатами гендерного аналізу.</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21"/>
      <w:bookmarkEnd w:id="20"/>
      <w:r w:rsidRPr="00D47E1C">
        <w:rPr>
          <w:rFonts w:ascii="Times New Roman" w:eastAsia="Times New Roman" w:hAnsi="Times New Roman" w:cs="Times New Roman"/>
          <w:color w:val="333333"/>
          <w:sz w:val="24"/>
          <w:szCs w:val="24"/>
          <w:lang w:eastAsia="uk-UA"/>
        </w:rPr>
        <w:t>Інші терміни вживаються у значенні, наведеному у </w:t>
      </w:r>
      <w:hyperlink r:id="rId9" w:tgtFrame="_blank" w:history="1">
        <w:r w:rsidRPr="00D47E1C">
          <w:rPr>
            <w:rFonts w:ascii="Times New Roman" w:eastAsia="Times New Roman" w:hAnsi="Times New Roman" w:cs="Times New Roman"/>
            <w:color w:val="000099"/>
            <w:sz w:val="24"/>
            <w:szCs w:val="24"/>
            <w:u w:val="single"/>
            <w:lang w:eastAsia="uk-UA"/>
          </w:rPr>
          <w:t>Бюджетному кодексі України</w:t>
        </w:r>
      </w:hyperlink>
      <w:r w:rsidRPr="00D47E1C">
        <w:rPr>
          <w:rFonts w:ascii="Times New Roman" w:eastAsia="Times New Roman" w:hAnsi="Times New Roman" w:cs="Times New Roman"/>
          <w:color w:val="333333"/>
          <w:sz w:val="24"/>
          <w:szCs w:val="24"/>
          <w:lang w:eastAsia="uk-UA"/>
        </w:rPr>
        <w:t>, </w:t>
      </w:r>
      <w:hyperlink r:id="rId10" w:tgtFrame="_blank" w:history="1">
        <w:r w:rsidRPr="00D47E1C">
          <w:rPr>
            <w:rFonts w:ascii="Times New Roman" w:eastAsia="Times New Roman" w:hAnsi="Times New Roman" w:cs="Times New Roman"/>
            <w:color w:val="000099"/>
            <w:sz w:val="24"/>
            <w:szCs w:val="24"/>
            <w:u w:val="single"/>
            <w:lang w:eastAsia="uk-UA"/>
          </w:rPr>
          <w:t>Законі України</w:t>
        </w:r>
      </w:hyperlink>
      <w:r w:rsidRPr="00D47E1C">
        <w:rPr>
          <w:rFonts w:ascii="Times New Roman" w:eastAsia="Times New Roman" w:hAnsi="Times New Roman" w:cs="Times New Roman"/>
          <w:color w:val="333333"/>
          <w:sz w:val="24"/>
          <w:szCs w:val="24"/>
          <w:lang w:eastAsia="uk-UA"/>
        </w:rPr>
        <w:t> "Про забезпечення рівних прав та можливостей жінок і чоловіків", інших нормативно-правових актах.</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22"/>
      <w:bookmarkEnd w:id="21"/>
      <w:r w:rsidRPr="00D47E1C">
        <w:rPr>
          <w:rFonts w:ascii="Times New Roman" w:eastAsia="Times New Roman" w:hAnsi="Times New Roman" w:cs="Times New Roman"/>
          <w:color w:val="333333"/>
          <w:sz w:val="24"/>
          <w:szCs w:val="24"/>
          <w:lang w:eastAsia="uk-UA"/>
        </w:rPr>
        <w:t xml:space="preserve">4. Впровадження </w:t>
      </w:r>
      <w:proofErr w:type="spellStart"/>
      <w:r w:rsidRPr="00D47E1C">
        <w:rPr>
          <w:rFonts w:ascii="Times New Roman" w:eastAsia="Times New Roman" w:hAnsi="Times New Roman" w:cs="Times New Roman"/>
          <w:color w:val="333333"/>
          <w:sz w:val="24"/>
          <w:szCs w:val="24"/>
          <w:lang w:eastAsia="uk-UA"/>
        </w:rPr>
        <w:t>гендерно</w:t>
      </w:r>
      <w:proofErr w:type="spellEnd"/>
      <w:r w:rsidRPr="00D47E1C">
        <w:rPr>
          <w:rFonts w:ascii="Times New Roman" w:eastAsia="Times New Roman" w:hAnsi="Times New Roman" w:cs="Times New Roman"/>
          <w:color w:val="333333"/>
          <w:sz w:val="24"/>
          <w:szCs w:val="24"/>
          <w:lang w:eastAsia="uk-UA"/>
        </w:rPr>
        <w:t xml:space="preserve"> орієнтованого підходу в бюджетний процес доцільно здійснювати у такій послідовності:</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23"/>
      <w:bookmarkEnd w:id="22"/>
      <w:r w:rsidRPr="00D47E1C">
        <w:rPr>
          <w:rFonts w:ascii="Times New Roman" w:eastAsia="Times New Roman" w:hAnsi="Times New Roman" w:cs="Times New Roman"/>
          <w:color w:val="333333"/>
          <w:sz w:val="24"/>
          <w:szCs w:val="24"/>
          <w:lang w:eastAsia="uk-UA"/>
        </w:rPr>
        <w:t>здійснення огляду нормативно-правових актів та інших документів, які містять інформацію про гендерну рівність;</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24"/>
      <w:bookmarkEnd w:id="23"/>
      <w:r w:rsidRPr="00D47E1C">
        <w:rPr>
          <w:rFonts w:ascii="Times New Roman" w:eastAsia="Times New Roman" w:hAnsi="Times New Roman" w:cs="Times New Roman"/>
          <w:color w:val="333333"/>
          <w:sz w:val="24"/>
          <w:szCs w:val="24"/>
          <w:lang w:eastAsia="uk-UA"/>
        </w:rPr>
        <w:t>проведення гендерного аналізу бюджетних програм;</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25"/>
      <w:bookmarkEnd w:id="24"/>
      <w:r w:rsidRPr="00D47E1C">
        <w:rPr>
          <w:rFonts w:ascii="Times New Roman" w:eastAsia="Times New Roman" w:hAnsi="Times New Roman" w:cs="Times New Roman"/>
          <w:color w:val="333333"/>
          <w:sz w:val="24"/>
          <w:szCs w:val="24"/>
          <w:lang w:eastAsia="uk-UA"/>
        </w:rPr>
        <w:t>прийняття рішень за результатами гендерного аналізу бюджетних програм;</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26"/>
      <w:bookmarkEnd w:id="25"/>
      <w:r w:rsidRPr="00D47E1C">
        <w:rPr>
          <w:rFonts w:ascii="Times New Roman" w:eastAsia="Times New Roman" w:hAnsi="Times New Roman" w:cs="Times New Roman"/>
          <w:color w:val="333333"/>
          <w:sz w:val="24"/>
          <w:szCs w:val="24"/>
          <w:lang w:eastAsia="uk-UA"/>
        </w:rPr>
        <w:t xml:space="preserve">моніторинг </w:t>
      </w:r>
      <w:proofErr w:type="spellStart"/>
      <w:r w:rsidRPr="00D47E1C">
        <w:rPr>
          <w:rFonts w:ascii="Times New Roman" w:eastAsia="Times New Roman" w:hAnsi="Times New Roman" w:cs="Times New Roman"/>
          <w:color w:val="333333"/>
          <w:sz w:val="24"/>
          <w:szCs w:val="24"/>
          <w:lang w:eastAsia="uk-UA"/>
        </w:rPr>
        <w:t>гендерно</w:t>
      </w:r>
      <w:proofErr w:type="spellEnd"/>
      <w:r w:rsidRPr="00D47E1C">
        <w:rPr>
          <w:rFonts w:ascii="Times New Roman" w:eastAsia="Times New Roman" w:hAnsi="Times New Roman" w:cs="Times New Roman"/>
          <w:color w:val="333333"/>
          <w:sz w:val="24"/>
          <w:szCs w:val="24"/>
          <w:lang w:eastAsia="uk-UA"/>
        </w:rPr>
        <w:t xml:space="preserve"> чутливих бюджетних програм.</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27"/>
      <w:bookmarkEnd w:id="26"/>
      <w:r w:rsidRPr="00D47E1C">
        <w:rPr>
          <w:rFonts w:ascii="Times New Roman" w:eastAsia="Times New Roman" w:hAnsi="Times New Roman" w:cs="Times New Roman"/>
          <w:color w:val="333333"/>
          <w:sz w:val="24"/>
          <w:szCs w:val="24"/>
          <w:lang w:eastAsia="uk-UA"/>
        </w:rPr>
        <w:t xml:space="preserve">5. Для впровадження та застосування </w:t>
      </w:r>
      <w:proofErr w:type="spellStart"/>
      <w:r w:rsidRPr="00D47E1C">
        <w:rPr>
          <w:rFonts w:ascii="Times New Roman" w:eastAsia="Times New Roman" w:hAnsi="Times New Roman" w:cs="Times New Roman"/>
          <w:color w:val="333333"/>
          <w:sz w:val="24"/>
          <w:szCs w:val="24"/>
          <w:lang w:eastAsia="uk-UA"/>
        </w:rPr>
        <w:t>гендерно</w:t>
      </w:r>
      <w:proofErr w:type="spellEnd"/>
      <w:r w:rsidRPr="00D47E1C">
        <w:rPr>
          <w:rFonts w:ascii="Times New Roman" w:eastAsia="Times New Roman" w:hAnsi="Times New Roman" w:cs="Times New Roman"/>
          <w:color w:val="333333"/>
          <w:sz w:val="24"/>
          <w:szCs w:val="24"/>
          <w:lang w:eastAsia="uk-UA"/>
        </w:rPr>
        <w:t xml:space="preserve"> орієнтованого підходу в бюджетному процесі головному розпоряднику рекомендується:</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28"/>
      <w:bookmarkEnd w:id="27"/>
      <w:r w:rsidRPr="00D47E1C">
        <w:rPr>
          <w:rFonts w:ascii="Times New Roman" w:eastAsia="Times New Roman" w:hAnsi="Times New Roman" w:cs="Times New Roman"/>
          <w:color w:val="333333"/>
          <w:sz w:val="24"/>
          <w:szCs w:val="24"/>
          <w:lang w:eastAsia="uk-UA"/>
        </w:rPr>
        <w:t xml:space="preserve">щорічно розробляти та затверджувати план заходів з впровадження та застосування </w:t>
      </w:r>
      <w:proofErr w:type="spellStart"/>
      <w:r w:rsidRPr="00D47E1C">
        <w:rPr>
          <w:rFonts w:ascii="Times New Roman" w:eastAsia="Times New Roman" w:hAnsi="Times New Roman" w:cs="Times New Roman"/>
          <w:color w:val="333333"/>
          <w:sz w:val="24"/>
          <w:szCs w:val="24"/>
          <w:lang w:eastAsia="uk-UA"/>
        </w:rPr>
        <w:t>гендерно</w:t>
      </w:r>
      <w:proofErr w:type="spellEnd"/>
      <w:r w:rsidRPr="00D47E1C">
        <w:rPr>
          <w:rFonts w:ascii="Times New Roman" w:eastAsia="Times New Roman" w:hAnsi="Times New Roman" w:cs="Times New Roman"/>
          <w:color w:val="333333"/>
          <w:sz w:val="24"/>
          <w:szCs w:val="24"/>
          <w:lang w:eastAsia="uk-UA"/>
        </w:rPr>
        <w:t xml:space="preserve"> орієнтованого підходу в бюджетний процес (окремо або у складі плану діяльності головного розпорядника) з урахуванням етапів, визначених пунктом 4 цих Методичних рекомендацій, включаючи до такого плану відповідальних виконавців та строки виконання заходів;</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29"/>
      <w:bookmarkEnd w:id="28"/>
      <w:r w:rsidRPr="00D47E1C">
        <w:rPr>
          <w:rFonts w:ascii="Times New Roman" w:eastAsia="Times New Roman" w:hAnsi="Times New Roman" w:cs="Times New Roman"/>
          <w:color w:val="333333"/>
          <w:sz w:val="24"/>
          <w:szCs w:val="24"/>
          <w:lang w:eastAsia="uk-UA"/>
        </w:rPr>
        <w:t xml:space="preserve">забезпечувати координацію між своїми структурними підрозділами, розпорядниками бюджетних коштів нижчого рівня, відповідальними виконавцями бюджетних програм, </w:t>
      </w:r>
      <w:r w:rsidRPr="00D47E1C">
        <w:rPr>
          <w:rFonts w:ascii="Times New Roman" w:eastAsia="Times New Roman" w:hAnsi="Times New Roman" w:cs="Times New Roman"/>
          <w:color w:val="333333"/>
          <w:sz w:val="24"/>
          <w:szCs w:val="24"/>
          <w:lang w:eastAsia="uk-UA"/>
        </w:rPr>
        <w:lastRenderedPageBreak/>
        <w:t>одержувачами бюджетних коштів, підприємствами, установами, організаціями, що залучаються до проведення аналізу тощо.</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30"/>
      <w:bookmarkEnd w:id="29"/>
      <w:r w:rsidRPr="00D47E1C">
        <w:rPr>
          <w:rFonts w:ascii="Times New Roman" w:eastAsia="Times New Roman" w:hAnsi="Times New Roman" w:cs="Times New Roman"/>
          <w:color w:val="333333"/>
          <w:sz w:val="24"/>
          <w:szCs w:val="24"/>
          <w:lang w:eastAsia="uk-UA"/>
        </w:rPr>
        <w:t xml:space="preserve">З метою впровадження та застосування </w:t>
      </w:r>
      <w:proofErr w:type="spellStart"/>
      <w:r w:rsidRPr="00D47E1C">
        <w:rPr>
          <w:rFonts w:ascii="Times New Roman" w:eastAsia="Times New Roman" w:hAnsi="Times New Roman" w:cs="Times New Roman"/>
          <w:color w:val="333333"/>
          <w:sz w:val="24"/>
          <w:szCs w:val="24"/>
          <w:lang w:eastAsia="uk-UA"/>
        </w:rPr>
        <w:t>гендерно</w:t>
      </w:r>
      <w:proofErr w:type="spellEnd"/>
      <w:r w:rsidRPr="00D47E1C">
        <w:rPr>
          <w:rFonts w:ascii="Times New Roman" w:eastAsia="Times New Roman" w:hAnsi="Times New Roman" w:cs="Times New Roman"/>
          <w:color w:val="333333"/>
          <w:sz w:val="24"/>
          <w:szCs w:val="24"/>
          <w:lang w:eastAsia="uk-UA"/>
        </w:rPr>
        <w:t xml:space="preserve"> орієнтованого у бюджетному процесі можуть залучатися міжнародні та незалежні національні експерти, у тому числі такі, співпраця з якими здійснюється у рамках реалізації проектів міжнародної технічної допомоги, у встановленому законодавством порядку.</w:t>
      </w:r>
    </w:p>
    <w:p w:rsidR="00D47E1C" w:rsidRPr="00D47E1C" w:rsidRDefault="00D47E1C" w:rsidP="00D47E1C">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0" w:name="n31"/>
      <w:bookmarkEnd w:id="30"/>
      <w:r w:rsidRPr="00D47E1C">
        <w:rPr>
          <w:rFonts w:ascii="Times New Roman" w:eastAsia="Times New Roman" w:hAnsi="Times New Roman" w:cs="Times New Roman"/>
          <w:b/>
          <w:bCs/>
          <w:color w:val="333333"/>
          <w:sz w:val="28"/>
          <w:szCs w:val="28"/>
          <w:lang w:eastAsia="uk-UA"/>
        </w:rPr>
        <w:t>II. Огляд нормативно-правових актів та інших документів, які містять інформацію про гендерну рівність</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32"/>
      <w:bookmarkEnd w:id="31"/>
      <w:r w:rsidRPr="00D47E1C">
        <w:rPr>
          <w:rFonts w:ascii="Times New Roman" w:eastAsia="Times New Roman" w:hAnsi="Times New Roman" w:cs="Times New Roman"/>
          <w:color w:val="333333"/>
          <w:sz w:val="24"/>
          <w:szCs w:val="24"/>
          <w:lang w:eastAsia="uk-UA"/>
        </w:rPr>
        <w:t>6. Огляд нормативно-правових актів та інших документів, які містять інформацію про гендерну рівність (далі - огляд), проводиться з метою створення цілісного уявлення про гендерну рівність у цілому в Україні та в сфері/галузі, що належить до повноважень головного розпорядника, зокрема щодо наявних проблем у становищі жінок, чоловіків та/або їх груп, задоволення їх інтересів, забезпечення прав та можливостей, а також про взяті Україною зобов'язання щодо забезпечення гендерної рівності, вимоги нормативно-правових актів, завдання стратегічних і програмних документів держави, цільові показники щодо гендерної рівності.</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33"/>
      <w:bookmarkEnd w:id="32"/>
      <w:r w:rsidRPr="00D47E1C">
        <w:rPr>
          <w:rFonts w:ascii="Times New Roman" w:eastAsia="Times New Roman" w:hAnsi="Times New Roman" w:cs="Times New Roman"/>
          <w:color w:val="333333"/>
          <w:sz w:val="24"/>
          <w:szCs w:val="24"/>
          <w:lang w:eastAsia="uk-UA"/>
        </w:rPr>
        <w:t>Оглядом можуть бути охоплені чинні нормативно-правові акти, міжнародні та національні документи, в тому числі міжнародні угоди, директиви міжнародних організацій, членом яких є Україна, доповіді та звіти міжнародних організацій, наукових установ, громадських організацій тощо.</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34"/>
      <w:bookmarkEnd w:id="33"/>
      <w:r w:rsidRPr="00D47E1C">
        <w:rPr>
          <w:rFonts w:ascii="Times New Roman" w:eastAsia="Times New Roman" w:hAnsi="Times New Roman" w:cs="Times New Roman"/>
          <w:color w:val="333333"/>
          <w:sz w:val="24"/>
          <w:szCs w:val="24"/>
          <w:lang w:eastAsia="uk-UA"/>
        </w:rPr>
        <w:t>Зокрема, джерелом інформації про гендерну рівність є такі документи:</w:t>
      </w:r>
    </w:p>
    <w:bookmarkStart w:id="34" w:name="n35"/>
    <w:bookmarkEnd w:id="34"/>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D47E1C">
        <w:rPr>
          <w:rFonts w:ascii="Times New Roman" w:eastAsia="Times New Roman" w:hAnsi="Times New Roman" w:cs="Times New Roman"/>
          <w:color w:val="333333"/>
          <w:sz w:val="24"/>
          <w:szCs w:val="24"/>
          <w:lang w:eastAsia="uk-UA"/>
        </w:rPr>
        <w:fldChar w:fldCharType="begin"/>
      </w:r>
      <w:r w:rsidRPr="00D47E1C">
        <w:rPr>
          <w:rFonts w:ascii="Times New Roman" w:eastAsia="Times New Roman" w:hAnsi="Times New Roman" w:cs="Times New Roman"/>
          <w:color w:val="333333"/>
          <w:sz w:val="24"/>
          <w:szCs w:val="24"/>
          <w:lang w:eastAsia="uk-UA"/>
        </w:rPr>
        <w:instrText xml:space="preserve"> HYPERLINK "https://zakon.rada.gov.ua/rada/show/254%D0%BA/96-%D0%B2%D1%80" \t "_blank" </w:instrText>
      </w:r>
      <w:r w:rsidRPr="00D47E1C">
        <w:rPr>
          <w:rFonts w:ascii="Times New Roman" w:eastAsia="Times New Roman" w:hAnsi="Times New Roman" w:cs="Times New Roman"/>
          <w:color w:val="333333"/>
          <w:sz w:val="24"/>
          <w:szCs w:val="24"/>
          <w:lang w:eastAsia="uk-UA"/>
        </w:rPr>
        <w:fldChar w:fldCharType="separate"/>
      </w:r>
      <w:r w:rsidRPr="00D47E1C">
        <w:rPr>
          <w:rFonts w:ascii="Times New Roman" w:eastAsia="Times New Roman" w:hAnsi="Times New Roman" w:cs="Times New Roman"/>
          <w:color w:val="000099"/>
          <w:sz w:val="24"/>
          <w:szCs w:val="24"/>
          <w:u w:val="single"/>
          <w:lang w:eastAsia="uk-UA"/>
        </w:rPr>
        <w:t>Конституція України</w:t>
      </w:r>
      <w:r w:rsidRPr="00D47E1C">
        <w:rPr>
          <w:rFonts w:ascii="Times New Roman" w:eastAsia="Times New Roman" w:hAnsi="Times New Roman" w:cs="Times New Roman"/>
          <w:color w:val="333333"/>
          <w:sz w:val="24"/>
          <w:szCs w:val="24"/>
          <w:lang w:eastAsia="uk-UA"/>
        </w:rPr>
        <w:fldChar w:fldCharType="end"/>
      </w:r>
      <w:r w:rsidRPr="00D47E1C">
        <w:rPr>
          <w:rFonts w:ascii="Times New Roman" w:eastAsia="Times New Roman" w:hAnsi="Times New Roman" w:cs="Times New Roman"/>
          <w:color w:val="333333"/>
          <w:sz w:val="24"/>
          <w:szCs w:val="24"/>
          <w:lang w:eastAsia="uk-UA"/>
        </w:rPr>
        <w:t>;</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36"/>
      <w:bookmarkEnd w:id="35"/>
      <w:r w:rsidRPr="00D47E1C">
        <w:rPr>
          <w:rFonts w:ascii="Times New Roman" w:eastAsia="Times New Roman" w:hAnsi="Times New Roman" w:cs="Times New Roman"/>
          <w:color w:val="333333"/>
          <w:sz w:val="24"/>
          <w:szCs w:val="24"/>
          <w:lang w:eastAsia="uk-UA"/>
        </w:rPr>
        <w:t>Закони України </w:t>
      </w:r>
      <w:hyperlink r:id="rId11" w:tgtFrame="_blank" w:history="1">
        <w:r w:rsidRPr="00D47E1C">
          <w:rPr>
            <w:rFonts w:ascii="Times New Roman" w:eastAsia="Times New Roman" w:hAnsi="Times New Roman" w:cs="Times New Roman"/>
            <w:color w:val="000099"/>
            <w:sz w:val="24"/>
            <w:szCs w:val="24"/>
            <w:u w:val="single"/>
            <w:lang w:eastAsia="uk-UA"/>
          </w:rPr>
          <w:t>"Про забезпечення рівних прав та можливостей жінок і чоловіків"</w:t>
        </w:r>
      </w:hyperlink>
      <w:r w:rsidRPr="00D47E1C">
        <w:rPr>
          <w:rFonts w:ascii="Times New Roman" w:eastAsia="Times New Roman" w:hAnsi="Times New Roman" w:cs="Times New Roman"/>
          <w:color w:val="333333"/>
          <w:sz w:val="24"/>
          <w:szCs w:val="24"/>
          <w:lang w:eastAsia="uk-UA"/>
        </w:rPr>
        <w:t>, </w:t>
      </w:r>
      <w:hyperlink r:id="rId12" w:tgtFrame="_blank" w:history="1">
        <w:r w:rsidRPr="00D47E1C">
          <w:rPr>
            <w:rFonts w:ascii="Times New Roman" w:eastAsia="Times New Roman" w:hAnsi="Times New Roman" w:cs="Times New Roman"/>
            <w:color w:val="000099"/>
            <w:sz w:val="24"/>
            <w:szCs w:val="24"/>
            <w:u w:val="single"/>
            <w:lang w:eastAsia="uk-UA"/>
          </w:rPr>
          <w:t>"Про засади запобігання та протидії дискримінації в Україні"</w:t>
        </w:r>
      </w:hyperlink>
      <w:r w:rsidRPr="00D47E1C">
        <w:rPr>
          <w:rFonts w:ascii="Times New Roman" w:eastAsia="Times New Roman" w:hAnsi="Times New Roman" w:cs="Times New Roman"/>
          <w:color w:val="333333"/>
          <w:sz w:val="24"/>
          <w:szCs w:val="24"/>
          <w:lang w:eastAsia="uk-UA"/>
        </w:rPr>
        <w:t>, </w:t>
      </w:r>
      <w:hyperlink r:id="rId13" w:tgtFrame="_blank" w:history="1">
        <w:r w:rsidRPr="00D47E1C">
          <w:rPr>
            <w:rFonts w:ascii="Times New Roman" w:eastAsia="Times New Roman" w:hAnsi="Times New Roman" w:cs="Times New Roman"/>
            <w:color w:val="000099"/>
            <w:sz w:val="24"/>
            <w:szCs w:val="24"/>
            <w:u w:val="single"/>
            <w:lang w:eastAsia="uk-UA"/>
          </w:rPr>
          <w:t>"Про запобігання та протидію домашньому насильству"</w:t>
        </w:r>
      </w:hyperlink>
      <w:r w:rsidRPr="00D47E1C">
        <w:rPr>
          <w:rFonts w:ascii="Times New Roman" w:eastAsia="Times New Roman" w:hAnsi="Times New Roman" w:cs="Times New Roman"/>
          <w:color w:val="333333"/>
          <w:sz w:val="24"/>
          <w:szCs w:val="24"/>
          <w:lang w:eastAsia="uk-UA"/>
        </w:rPr>
        <w:t>, </w:t>
      </w:r>
      <w:hyperlink r:id="rId14" w:tgtFrame="_blank" w:history="1">
        <w:r w:rsidRPr="00D47E1C">
          <w:rPr>
            <w:rFonts w:ascii="Times New Roman" w:eastAsia="Times New Roman" w:hAnsi="Times New Roman" w:cs="Times New Roman"/>
            <w:color w:val="000099"/>
            <w:sz w:val="24"/>
            <w:szCs w:val="24"/>
            <w:u w:val="single"/>
            <w:lang w:eastAsia="uk-UA"/>
          </w:rPr>
          <w:t>"Про протидію торгівлі людьми"</w:t>
        </w:r>
      </w:hyperlink>
      <w:r w:rsidRPr="00D47E1C">
        <w:rPr>
          <w:rFonts w:ascii="Times New Roman" w:eastAsia="Times New Roman" w:hAnsi="Times New Roman" w:cs="Times New Roman"/>
          <w:color w:val="333333"/>
          <w:sz w:val="24"/>
          <w:szCs w:val="24"/>
          <w:lang w:eastAsia="uk-UA"/>
        </w:rPr>
        <w:t>;</w:t>
      </w:r>
    </w:p>
    <w:bookmarkStart w:id="36" w:name="n37"/>
    <w:bookmarkEnd w:id="36"/>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D47E1C">
        <w:rPr>
          <w:rFonts w:ascii="Times New Roman" w:eastAsia="Times New Roman" w:hAnsi="Times New Roman" w:cs="Times New Roman"/>
          <w:color w:val="333333"/>
          <w:sz w:val="24"/>
          <w:szCs w:val="24"/>
          <w:lang w:eastAsia="uk-UA"/>
        </w:rPr>
        <w:fldChar w:fldCharType="begin"/>
      </w:r>
      <w:r w:rsidRPr="00D47E1C">
        <w:rPr>
          <w:rFonts w:ascii="Times New Roman" w:eastAsia="Times New Roman" w:hAnsi="Times New Roman" w:cs="Times New Roman"/>
          <w:color w:val="333333"/>
          <w:sz w:val="24"/>
          <w:szCs w:val="24"/>
          <w:lang w:eastAsia="uk-UA"/>
        </w:rPr>
        <w:instrText xml:space="preserve"> HYPERLINK "https://zakon.rada.gov.ua/rada/show/273-2018-%D0%BF" \l "n12" \t "_blank" </w:instrText>
      </w:r>
      <w:r w:rsidRPr="00D47E1C">
        <w:rPr>
          <w:rFonts w:ascii="Times New Roman" w:eastAsia="Times New Roman" w:hAnsi="Times New Roman" w:cs="Times New Roman"/>
          <w:color w:val="333333"/>
          <w:sz w:val="24"/>
          <w:szCs w:val="24"/>
          <w:lang w:eastAsia="uk-UA"/>
        </w:rPr>
        <w:fldChar w:fldCharType="separate"/>
      </w:r>
      <w:r w:rsidRPr="00D47E1C">
        <w:rPr>
          <w:rFonts w:ascii="Times New Roman" w:eastAsia="Times New Roman" w:hAnsi="Times New Roman" w:cs="Times New Roman"/>
          <w:color w:val="000099"/>
          <w:sz w:val="24"/>
          <w:szCs w:val="24"/>
          <w:u w:val="single"/>
          <w:lang w:eastAsia="uk-UA"/>
        </w:rPr>
        <w:t>Державна соціальна програма забезпечення рівних прав та можливостей жінок і чоловіків на період до 2021 року</w:t>
      </w:r>
      <w:r w:rsidRPr="00D47E1C">
        <w:rPr>
          <w:rFonts w:ascii="Times New Roman" w:eastAsia="Times New Roman" w:hAnsi="Times New Roman" w:cs="Times New Roman"/>
          <w:color w:val="333333"/>
          <w:sz w:val="24"/>
          <w:szCs w:val="24"/>
          <w:lang w:eastAsia="uk-UA"/>
        </w:rPr>
        <w:fldChar w:fldCharType="end"/>
      </w:r>
      <w:r w:rsidRPr="00D47E1C">
        <w:rPr>
          <w:rFonts w:ascii="Times New Roman" w:eastAsia="Times New Roman" w:hAnsi="Times New Roman" w:cs="Times New Roman"/>
          <w:color w:val="333333"/>
          <w:sz w:val="24"/>
          <w:szCs w:val="24"/>
          <w:lang w:eastAsia="uk-UA"/>
        </w:rPr>
        <w:t>, схвалена постановою Кабінету Міністрів України від 11.04.2018 № 273;</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38"/>
      <w:bookmarkEnd w:id="37"/>
      <w:r w:rsidRPr="00D47E1C">
        <w:rPr>
          <w:rFonts w:ascii="Times New Roman" w:eastAsia="Times New Roman" w:hAnsi="Times New Roman" w:cs="Times New Roman"/>
          <w:color w:val="333333"/>
          <w:sz w:val="24"/>
          <w:szCs w:val="24"/>
          <w:lang w:eastAsia="uk-UA"/>
        </w:rPr>
        <w:t>міжнародні договори України, згода на обов'язковість яких надана Верховною Радою України, та резолюції міжнародних конференцій, міжнародних організацій, їх органів, які застосовуються під час проведення гендерно-правової експертизи відповідно до </w:t>
      </w:r>
      <w:hyperlink r:id="rId15" w:anchor="n14" w:tgtFrame="_blank" w:history="1">
        <w:r w:rsidRPr="00D47E1C">
          <w:rPr>
            <w:rFonts w:ascii="Times New Roman" w:eastAsia="Times New Roman" w:hAnsi="Times New Roman" w:cs="Times New Roman"/>
            <w:color w:val="000099"/>
            <w:sz w:val="24"/>
            <w:szCs w:val="24"/>
            <w:u w:val="single"/>
            <w:lang w:eastAsia="uk-UA"/>
          </w:rPr>
          <w:t>Порядку</w:t>
        </w:r>
      </w:hyperlink>
      <w:r w:rsidRPr="00D47E1C">
        <w:rPr>
          <w:rFonts w:ascii="Times New Roman" w:eastAsia="Times New Roman" w:hAnsi="Times New Roman" w:cs="Times New Roman"/>
          <w:color w:val="333333"/>
          <w:sz w:val="24"/>
          <w:szCs w:val="24"/>
          <w:lang w:eastAsia="uk-UA"/>
        </w:rPr>
        <w:t>, затвердженого, постановою Кабінету Міністрів України від 28 листопада 2018 р. № 997;</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39"/>
      <w:bookmarkEnd w:id="38"/>
      <w:r w:rsidRPr="00D47E1C">
        <w:rPr>
          <w:rFonts w:ascii="Times New Roman" w:eastAsia="Times New Roman" w:hAnsi="Times New Roman" w:cs="Times New Roman"/>
          <w:color w:val="333333"/>
          <w:sz w:val="24"/>
          <w:szCs w:val="24"/>
          <w:lang w:eastAsia="uk-UA"/>
        </w:rPr>
        <w:t>Восьма періодична доповідь України про виконання </w:t>
      </w:r>
      <w:hyperlink r:id="rId16" w:tgtFrame="_blank" w:history="1">
        <w:r w:rsidRPr="00D47E1C">
          <w:rPr>
            <w:rFonts w:ascii="Times New Roman" w:eastAsia="Times New Roman" w:hAnsi="Times New Roman" w:cs="Times New Roman"/>
            <w:color w:val="000099"/>
            <w:sz w:val="24"/>
            <w:szCs w:val="24"/>
            <w:u w:val="single"/>
            <w:lang w:eastAsia="uk-UA"/>
          </w:rPr>
          <w:t>Конвенції ООН про ліквідацію всіх форм дискримінації щодо жінок</w:t>
        </w:r>
      </w:hyperlink>
      <w:r w:rsidRPr="00D47E1C">
        <w:rPr>
          <w:rFonts w:ascii="Times New Roman" w:eastAsia="Times New Roman" w:hAnsi="Times New Roman" w:cs="Times New Roman"/>
          <w:color w:val="333333"/>
          <w:sz w:val="24"/>
          <w:szCs w:val="24"/>
          <w:lang w:eastAsia="uk-UA"/>
        </w:rPr>
        <w:t>;</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40"/>
      <w:bookmarkEnd w:id="39"/>
      <w:r w:rsidRPr="00D47E1C">
        <w:rPr>
          <w:rFonts w:ascii="Times New Roman" w:eastAsia="Times New Roman" w:hAnsi="Times New Roman" w:cs="Times New Roman"/>
          <w:color w:val="333333"/>
          <w:sz w:val="24"/>
          <w:szCs w:val="24"/>
          <w:lang w:eastAsia="uk-UA"/>
        </w:rPr>
        <w:t>Національний огляд виконання </w:t>
      </w:r>
      <w:hyperlink r:id="rId17" w:tgtFrame="_blank" w:history="1">
        <w:r w:rsidRPr="00D47E1C">
          <w:rPr>
            <w:rFonts w:ascii="Times New Roman" w:eastAsia="Times New Roman" w:hAnsi="Times New Roman" w:cs="Times New Roman"/>
            <w:color w:val="000099"/>
            <w:sz w:val="24"/>
            <w:szCs w:val="24"/>
            <w:u w:val="single"/>
            <w:lang w:eastAsia="uk-UA"/>
          </w:rPr>
          <w:t>Пекінської декларації</w:t>
        </w:r>
      </w:hyperlink>
      <w:r w:rsidRPr="00D47E1C">
        <w:rPr>
          <w:rFonts w:ascii="Times New Roman" w:eastAsia="Times New Roman" w:hAnsi="Times New Roman" w:cs="Times New Roman"/>
          <w:color w:val="333333"/>
          <w:sz w:val="24"/>
          <w:szCs w:val="24"/>
          <w:lang w:eastAsia="uk-UA"/>
        </w:rPr>
        <w:t> та Платформи дій (1995 р.) та заключних документів двадцять третьої спеціальної сесії Генеральної Асамблеї ООН (2000 р.) у контексті двадцятої річниці четвертої Всесвітньої конференції зі становища жінок та ухвалення Пекінської декларації та Платформи дій у 2015 р.;</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41"/>
      <w:bookmarkEnd w:id="40"/>
      <w:r w:rsidRPr="00D47E1C">
        <w:rPr>
          <w:rFonts w:ascii="Times New Roman" w:eastAsia="Times New Roman" w:hAnsi="Times New Roman" w:cs="Times New Roman"/>
          <w:color w:val="333333"/>
          <w:sz w:val="24"/>
          <w:szCs w:val="24"/>
          <w:lang w:eastAsia="uk-UA"/>
        </w:rPr>
        <w:t>Цілі сталого розвитку ООН;</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42"/>
      <w:bookmarkEnd w:id="41"/>
      <w:r w:rsidRPr="00D47E1C">
        <w:rPr>
          <w:rFonts w:ascii="Times New Roman" w:eastAsia="Times New Roman" w:hAnsi="Times New Roman" w:cs="Times New Roman"/>
          <w:color w:val="333333"/>
          <w:sz w:val="24"/>
          <w:szCs w:val="24"/>
          <w:lang w:eastAsia="uk-UA"/>
        </w:rPr>
        <w:t>Національна доповідь "Цілі сталого розвитку: Україна";</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43"/>
      <w:bookmarkEnd w:id="42"/>
      <w:r w:rsidRPr="00D47E1C">
        <w:rPr>
          <w:rFonts w:ascii="Times New Roman" w:eastAsia="Times New Roman" w:hAnsi="Times New Roman" w:cs="Times New Roman"/>
          <w:color w:val="333333"/>
          <w:sz w:val="24"/>
          <w:szCs w:val="24"/>
          <w:lang w:eastAsia="uk-UA"/>
        </w:rPr>
        <w:t>щорічні доповіді Уповноваженого Верховної Ради України з прав людини про стан дотримання прав і свобод людини і громадянина в Україні.</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44"/>
      <w:bookmarkEnd w:id="43"/>
      <w:r w:rsidRPr="00D47E1C">
        <w:rPr>
          <w:rFonts w:ascii="Times New Roman" w:eastAsia="Times New Roman" w:hAnsi="Times New Roman" w:cs="Times New Roman"/>
          <w:color w:val="333333"/>
          <w:sz w:val="24"/>
          <w:szCs w:val="24"/>
          <w:lang w:eastAsia="uk-UA"/>
        </w:rPr>
        <w:t>Додатковим джерелом інформації про гендерну рівність можуть стати світові глобальні оцінки та індекси, зокрема Глобальний індекс гендерного розриву (</w:t>
      </w:r>
      <w:proofErr w:type="spellStart"/>
      <w:r w:rsidRPr="00D47E1C">
        <w:rPr>
          <w:rFonts w:ascii="Times New Roman" w:eastAsia="Times New Roman" w:hAnsi="Times New Roman" w:cs="Times New Roman"/>
          <w:color w:val="333333"/>
          <w:sz w:val="24"/>
          <w:szCs w:val="24"/>
          <w:lang w:eastAsia="uk-UA"/>
        </w:rPr>
        <w:t>Global</w:t>
      </w:r>
      <w:proofErr w:type="spellEnd"/>
      <w:r w:rsidRPr="00D47E1C">
        <w:rPr>
          <w:rFonts w:ascii="Times New Roman" w:eastAsia="Times New Roman" w:hAnsi="Times New Roman" w:cs="Times New Roman"/>
          <w:color w:val="333333"/>
          <w:sz w:val="24"/>
          <w:szCs w:val="24"/>
          <w:lang w:eastAsia="uk-UA"/>
        </w:rPr>
        <w:t xml:space="preserve"> </w:t>
      </w:r>
      <w:proofErr w:type="spellStart"/>
      <w:r w:rsidRPr="00D47E1C">
        <w:rPr>
          <w:rFonts w:ascii="Times New Roman" w:eastAsia="Times New Roman" w:hAnsi="Times New Roman" w:cs="Times New Roman"/>
          <w:color w:val="333333"/>
          <w:sz w:val="24"/>
          <w:szCs w:val="24"/>
          <w:lang w:eastAsia="uk-UA"/>
        </w:rPr>
        <w:t>Gender</w:t>
      </w:r>
      <w:proofErr w:type="spellEnd"/>
      <w:r w:rsidRPr="00D47E1C">
        <w:rPr>
          <w:rFonts w:ascii="Times New Roman" w:eastAsia="Times New Roman" w:hAnsi="Times New Roman" w:cs="Times New Roman"/>
          <w:color w:val="333333"/>
          <w:sz w:val="24"/>
          <w:szCs w:val="24"/>
          <w:lang w:eastAsia="uk-UA"/>
        </w:rPr>
        <w:t xml:space="preserve"> </w:t>
      </w:r>
      <w:proofErr w:type="spellStart"/>
      <w:r w:rsidRPr="00D47E1C">
        <w:rPr>
          <w:rFonts w:ascii="Times New Roman" w:eastAsia="Times New Roman" w:hAnsi="Times New Roman" w:cs="Times New Roman"/>
          <w:color w:val="333333"/>
          <w:sz w:val="24"/>
          <w:szCs w:val="24"/>
          <w:lang w:eastAsia="uk-UA"/>
        </w:rPr>
        <w:t>Gap</w:t>
      </w:r>
      <w:proofErr w:type="spellEnd"/>
      <w:r w:rsidRPr="00D47E1C">
        <w:rPr>
          <w:rFonts w:ascii="Times New Roman" w:eastAsia="Times New Roman" w:hAnsi="Times New Roman" w:cs="Times New Roman"/>
          <w:color w:val="333333"/>
          <w:sz w:val="24"/>
          <w:szCs w:val="24"/>
          <w:lang w:eastAsia="uk-UA"/>
        </w:rPr>
        <w:t>), який визначає стан гендерної рівності в країні в таких сферах, як освіта, охорона здоров'я, політика та економіка.</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45"/>
      <w:bookmarkEnd w:id="44"/>
      <w:r w:rsidRPr="00D47E1C">
        <w:rPr>
          <w:rFonts w:ascii="Times New Roman" w:eastAsia="Times New Roman" w:hAnsi="Times New Roman" w:cs="Times New Roman"/>
          <w:color w:val="333333"/>
          <w:sz w:val="24"/>
          <w:szCs w:val="24"/>
          <w:lang w:eastAsia="uk-UA"/>
        </w:rPr>
        <w:lastRenderedPageBreak/>
        <w:t>7. Результати огляду використовуються при проведенні гендерного аналізу бюджетних програм з точки зору дотримання узятих Україною зобов'язань, виконання вимог нормативно-правових актів, відповідності завданням стратегічних і програмних документів держави з гендерних питань.</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46"/>
      <w:bookmarkEnd w:id="45"/>
      <w:r w:rsidRPr="00D47E1C">
        <w:rPr>
          <w:rFonts w:ascii="Times New Roman" w:eastAsia="Times New Roman" w:hAnsi="Times New Roman" w:cs="Times New Roman"/>
          <w:color w:val="333333"/>
          <w:sz w:val="24"/>
          <w:szCs w:val="24"/>
          <w:lang w:eastAsia="uk-UA"/>
        </w:rPr>
        <w:t>З метою спрощення подальшого використання при проведенні гендерного аналізу бюджетних програм та прийняття управлінських рішень інформацію щодо гендерної рівності у сфері/галузі, отриману під час огляду, доцільно узагальнити та згрупувати за такими позиціями:</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47"/>
      <w:bookmarkEnd w:id="46"/>
      <w:r w:rsidRPr="00D47E1C">
        <w:rPr>
          <w:rFonts w:ascii="Times New Roman" w:eastAsia="Times New Roman" w:hAnsi="Times New Roman" w:cs="Times New Roman"/>
          <w:color w:val="333333"/>
          <w:sz w:val="24"/>
          <w:szCs w:val="24"/>
          <w:lang w:eastAsia="uk-UA"/>
        </w:rPr>
        <w:t>вимоги/індикатори (показники) щодо гендерної рівності, визначені міжнародними угодами, директивами міжнародних організацій, членом яких є Україна;</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48"/>
      <w:bookmarkEnd w:id="47"/>
      <w:r w:rsidRPr="00D47E1C">
        <w:rPr>
          <w:rFonts w:ascii="Times New Roman" w:eastAsia="Times New Roman" w:hAnsi="Times New Roman" w:cs="Times New Roman"/>
          <w:color w:val="333333"/>
          <w:sz w:val="24"/>
          <w:szCs w:val="24"/>
          <w:lang w:eastAsia="uk-UA"/>
        </w:rPr>
        <w:t>вимоги/індикатори (показники) щодо гендерної рівності, визначені нормативно-правовими актами;</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49"/>
      <w:bookmarkEnd w:id="48"/>
      <w:r w:rsidRPr="00D47E1C">
        <w:rPr>
          <w:rFonts w:ascii="Times New Roman" w:eastAsia="Times New Roman" w:hAnsi="Times New Roman" w:cs="Times New Roman"/>
          <w:color w:val="333333"/>
          <w:sz w:val="24"/>
          <w:szCs w:val="24"/>
          <w:lang w:eastAsia="uk-UA"/>
        </w:rPr>
        <w:t>дані про становище жінок, чоловіків та/або їх груп;</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50"/>
      <w:bookmarkEnd w:id="49"/>
      <w:r w:rsidRPr="00D47E1C">
        <w:rPr>
          <w:rFonts w:ascii="Times New Roman" w:eastAsia="Times New Roman" w:hAnsi="Times New Roman" w:cs="Times New Roman"/>
          <w:color w:val="333333"/>
          <w:sz w:val="24"/>
          <w:szCs w:val="24"/>
          <w:lang w:eastAsia="uk-UA"/>
        </w:rPr>
        <w:t>дані про інтереси, потреби та пріоритети жінок, чоловіків та/або їх груп;</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51"/>
      <w:bookmarkEnd w:id="50"/>
      <w:r w:rsidRPr="00D47E1C">
        <w:rPr>
          <w:rFonts w:ascii="Times New Roman" w:eastAsia="Times New Roman" w:hAnsi="Times New Roman" w:cs="Times New Roman"/>
          <w:color w:val="333333"/>
          <w:sz w:val="24"/>
          <w:szCs w:val="24"/>
          <w:lang w:eastAsia="uk-UA"/>
        </w:rPr>
        <w:t>дані про гендерні розриви, гендерну дискримінацію, тенденції у забезпеченні потреб та задоволенні інтересів жінок, чоловіків та/або їх груп.</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52"/>
      <w:bookmarkEnd w:id="51"/>
      <w:r w:rsidRPr="00D47E1C">
        <w:rPr>
          <w:rFonts w:ascii="Times New Roman" w:eastAsia="Times New Roman" w:hAnsi="Times New Roman" w:cs="Times New Roman"/>
          <w:color w:val="333333"/>
          <w:sz w:val="24"/>
          <w:szCs w:val="24"/>
          <w:lang w:eastAsia="uk-UA"/>
        </w:rPr>
        <w:t>Для узагальнення інформації за результатами огляду нормативно-правових актів та інших документів, які містять інформацію про гендерну рівність, рекомендується використовувати форму у </w:t>
      </w:r>
      <w:hyperlink r:id="rId18" w:anchor="n98" w:history="1">
        <w:r w:rsidRPr="00D47E1C">
          <w:rPr>
            <w:rFonts w:ascii="Times New Roman" w:eastAsia="Times New Roman" w:hAnsi="Times New Roman" w:cs="Times New Roman"/>
            <w:color w:val="006600"/>
            <w:sz w:val="24"/>
            <w:szCs w:val="24"/>
            <w:u w:val="single"/>
            <w:lang w:eastAsia="uk-UA"/>
          </w:rPr>
          <w:t>додатку 1</w:t>
        </w:r>
      </w:hyperlink>
      <w:r w:rsidRPr="00D47E1C">
        <w:rPr>
          <w:rFonts w:ascii="Times New Roman" w:eastAsia="Times New Roman" w:hAnsi="Times New Roman" w:cs="Times New Roman"/>
          <w:color w:val="333333"/>
          <w:sz w:val="24"/>
          <w:szCs w:val="24"/>
          <w:lang w:eastAsia="uk-UA"/>
        </w:rPr>
        <w:t> до цих Методичних рекомендацій.</w:t>
      </w:r>
    </w:p>
    <w:p w:rsidR="00D47E1C" w:rsidRPr="00D47E1C" w:rsidRDefault="00D47E1C" w:rsidP="00D47E1C">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52" w:name="n53"/>
      <w:bookmarkEnd w:id="52"/>
      <w:r w:rsidRPr="00D47E1C">
        <w:rPr>
          <w:rFonts w:ascii="Times New Roman" w:eastAsia="Times New Roman" w:hAnsi="Times New Roman" w:cs="Times New Roman"/>
          <w:b/>
          <w:bCs/>
          <w:color w:val="333333"/>
          <w:sz w:val="28"/>
          <w:szCs w:val="28"/>
          <w:lang w:eastAsia="uk-UA"/>
        </w:rPr>
        <w:t>III. Проведення гендерного аналізу бюджетної програми</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54"/>
      <w:bookmarkEnd w:id="53"/>
      <w:r w:rsidRPr="00D47E1C">
        <w:rPr>
          <w:rFonts w:ascii="Times New Roman" w:eastAsia="Times New Roman" w:hAnsi="Times New Roman" w:cs="Times New Roman"/>
          <w:color w:val="333333"/>
          <w:sz w:val="24"/>
          <w:szCs w:val="24"/>
          <w:lang w:eastAsia="uk-UA"/>
        </w:rPr>
        <w:t>8. Метою гендерного аналізу бюджетної програми є визначення рівня забезпечення потреб та задоволення інтересів жінок і чоловіків та/або їх груп у процесі реалізації бюджетної програми, а також виявлення у відповідній сфері/галузі гендерних розривів, гендерної дискримінації та причин їх виникнення.</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55"/>
      <w:bookmarkEnd w:id="54"/>
      <w:r w:rsidRPr="00D47E1C">
        <w:rPr>
          <w:rFonts w:ascii="Times New Roman" w:eastAsia="Times New Roman" w:hAnsi="Times New Roman" w:cs="Times New Roman"/>
          <w:color w:val="333333"/>
          <w:sz w:val="24"/>
          <w:szCs w:val="24"/>
          <w:lang w:eastAsia="uk-UA"/>
        </w:rPr>
        <w:t xml:space="preserve">9. Для гендерного аналізу бюджетної програми використовуються дані, у тому числі </w:t>
      </w:r>
      <w:proofErr w:type="spellStart"/>
      <w:r w:rsidRPr="00D47E1C">
        <w:rPr>
          <w:rFonts w:ascii="Times New Roman" w:eastAsia="Times New Roman" w:hAnsi="Times New Roman" w:cs="Times New Roman"/>
          <w:color w:val="333333"/>
          <w:sz w:val="24"/>
          <w:szCs w:val="24"/>
          <w:lang w:eastAsia="uk-UA"/>
        </w:rPr>
        <w:t>дезагреговані</w:t>
      </w:r>
      <w:proofErr w:type="spellEnd"/>
      <w:r w:rsidRPr="00D47E1C">
        <w:rPr>
          <w:rFonts w:ascii="Times New Roman" w:eastAsia="Times New Roman" w:hAnsi="Times New Roman" w:cs="Times New Roman"/>
          <w:color w:val="333333"/>
          <w:sz w:val="24"/>
          <w:szCs w:val="24"/>
          <w:lang w:eastAsia="uk-UA"/>
        </w:rPr>
        <w:t xml:space="preserve"> за статтю, що містяться в офіційній державній статистичній, фінансовій, адміністративній та іншій звітності, документах бухгалтерського, статистичного та внутрішньогосподарського (управлінського) обліку, бюджетних запитах головного розпорядника, паспортах бюджетних програм, звітах про їх виконання, нормативно-правових актах та інших документах, які містять інформацію про гендерну рівність, інших джерелах інформації.</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56"/>
      <w:bookmarkEnd w:id="55"/>
      <w:r w:rsidRPr="00D47E1C">
        <w:rPr>
          <w:rFonts w:ascii="Times New Roman" w:eastAsia="Times New Roman" w:hAnsi="Times New Roman" w:cs="Times New Roman"/>
          <w:color w:val="333333"/>
          <w:sz w:val="24"/>
          <w:szCs w:val="24"/>
          <w:lang w:eastAsia="uk-UA"/>
        </w:rPr>
        <w:t>У разі якщо виявлено відсутність даних, необхідних для проведення гендерного аналізу бюджетної програми, рекомендується вжити заходів щодо вдосконалення процесу збору та обробки даних, ініціювати запровадження нових та/або перегляд існуючих форм статистичної та адміністративної звітності тощо.</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57"/>
      <w:bookmarkEnd w:id="56"/>
      <w:r w:rsidRPr="00D47E1C">
        <w:rPr>
          <w:rFonts w:ascii="Times New Roman" w:eastAsia="Times New Roman" w:hAnsi="Times New Roman" w:cs="Times New Roman"/>
          <w:color w:val="333333"/>
          <w:sz w:val="24"/>
          <w:szCs w:val="24"/>
          <w:lang w:eastAsia="uk-UA"/>
        </w:rPr>
        <w:t>Для вивчення становища жінок і чоловіків, виявлення їх потреб, інтересів, пріоритетів та проблем у різних соціальних умовах може організовуватися збір даних за допомогою анкетування, опитування фокус-груп, оціночних карток тощо. При організації збору інформації такими методами необхідно забезпечити паритетну участь в опитуваннях осіб обох статей.</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58"/>
      <w:bookmarkEnd w:id="57"/>
      <w:r w:rsidRPr="00D47E1C">
        <w:rPr>
          <w:rFonts w:ascii="Times New Roman" w:eastAsia="Times New Roman" w:hAnsi="Times New Roman" w:cs="Times New Roman"/>
          <w:color w:val="333333"/>
          <w:sz w:val="24"/>
          <w:szCs w:val="24"/>
          <w:lang w:eastAsia="uk-UA"/>
        </w:rPr>
        <w:t xml:space="preserve">Дані, які збираються для цілей гендерного аналізу для висвітлення становища жінок і чоловіків та/або їх груп у відповідній сфері/галузі, мають бути репрезентативними, </w:t>
      </w:r>
      <w:proofErr w:type="spellStart"/>
      <w:r w:rsidRPr="00D47E1C">
        <w:rPr>
          <w:rFonts w:ascii="Times New Roman" w:eastAsia="Times New Roman" w:hAnsi="Times New Roman" w:cs="Times New Roman"/>
          <w:color w:val="333333"/>
          <w:sz w:val="24"/>
          <w:szCs w:val="24"/>
          <w:lang w:eastAsia="uk-UA"/>
        </w:rPr>
        <w:t>співставними</w:t>
      </w:r>
      <w:proofErr w:type="spellEnd"/>
      <w:r w:rsidRPr="00D47E1C">
        <w:rPr>
          <w:rFonts w:ascii="Times New Roman" w:eastAsia="Times New Roman" w:hAnsi="Times New Roman" w:cs="Times New Roman"/>
          <w:color w:val="333333"/>
          <w:sz w:val="24"/>
          <w:szCs w:val="24"/>
          <w:lang w:eastAsia="uk-UA"/>
        </w:rPr>
        <w:t>, згрупованими за статтю та іншими ознаками, доцільними для проведення гендерного аналізу бюджетної програми: вік, місце проживання, стан здоров'я, етнічне походження, соціально-економічний статус тощо.</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59"/>
      <w:bookmarkEnd w:id="58"/>
      <w:r w:rsidRPr="00D47E1C">
        <w:rPr>
          <w:rFonts w:ascii="Times New Roman" w:eastAsia="Times New Roman" w:hAnsi="Times New Roman" w:cs="Times New Roman"/>
          <w:color w:val="333333"/>
          <w:sz w:val="24"/>
          <w:szCs w:val="24"/>
          <w:lang w:eastAsia="uk-UA"/>
        </w:rPr>
        <w:t xml:space="preserve">10. Гендерний аналіз бюджетної програми передбачає дослідження бюджетної програми (її назви, мети, завдань, напрямів використання коштів, результативних показників), </w:t>
      </w:r>
      <w:r w:rsidRPr="00D47E1C">
        <w:rPr>
          <w:rFonts w:ascii="Times New Roman" w:eastAsia="Times New Roman" w:hAnsi="Times New Roman" w:cs="Times New Roman"/>
          <w:color w:val="333333"/>
          <w:sz w:val="24"/>
          <w:szCs w:val="24"/>
          <w:lang w:eastAsia="uk-UA"/>
        </w:rPr>
        <w:lastRenderedPageBreak/>
        <w:t>включаючи публічні послуги, що надаються в межах бюджетної програми, отримувачів та надавачів цих послуг, підходи до визначення обсягу та розподілу коштів в межах бюджетної програми.</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60"/>
      <w:bookmarkEnd w:id="59"/>
      <w:r w:rsidRPr="00D47E1C">
        <w:rPr>
          <w:rFonts w:ascii="Times New Roman" w:eastAsia="Times New Roman" w:hAnsi="Times New Roman" w:cs="Times New Roman"/>
          <w:color w:val="333333"/>
          <w:sz w:val="24"/>
          <w:szCs w:val="24"/>
          <w:lang w:eastAsia="uk-UA"/>
        </w:rPr>
        <w:t>11. Назва бюджетної програми, її мета, завдання, напрями використання коштів, результативні показники досліджуються на предмет врахування у них гендерних аспектів та висвітлення цілеспрямованості бюджетної програми на забезпечення гендерної рівності.</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61"/>
      <w:bookmarkEnd w:id="60"/>
      <w:r w:rsidRPr="00D47E1C">
        <w:rPr>
          <w:rFonts w:ascii="Times New Roman" w:eastAsia="Times New Roman" w:hAnsi="Times New Roman" w:cs="Times New Roman"/>
          <w:color w:val="333333"/>
          <w:sz w:val="24"/>
          <w:szCs w:val="24"/>
          <w:lang w:eastAsia="uk-UA"/>
        </w:rPr>
        <w:t>Цілеспрямованість бюджетної програми на забезпечення гендерної рівності може виражатися у формулюваннях назви, мети та/або завданнях бюджетної програми.</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62"/>
      <w:bookmarkEnd w:id="61"/>
      <w:r w:rsidRPr="00D47E1C">
        <w:rPr>
          <w:rFonts w:ascii="Times New Roman" w:eastAsia="Times New Roman" w:hAnsi="Times New Roman" w:cs="Times New Roman"/>
          <w:color w:val="333333"/>
          <w:sz w:val="24"/>
          <w:szCs w:val="24"/>
          <w:lang w:eastAsia="uk-UA"/>
        </w:rPr>
        <w:t>12. При аналізі бюджетної програми рекомендується здійснювати дослідження підходів до визначення обсягу та розподілу коштів за напрямами використання бюджетних коштів (обсягу коштів на надання певної послуги) під час планування та виконання бюджетної програми.</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63"/>
      <w:bookmarkEnd w:id="62"/>
      <w:r w:rsidRPr="00D47E1C">
        <w:rPr>
          <w:rFonts w:ascii="Times New Roman" w:eastAsia="Times New Roman" w:hAnsi="Times New Roman" w:cs="Times New Roman"/>
          <w:color w:val="333333"/>
          <w:sz w:val="24"/>
          <w:szCs w:val="24"/>
          <w:lang w:eastAsia="uk-UA"/>
        </w:rPr>
        <w:t>13. При аналізі результативних показників бюджетної програми досліджують їх якість та достатність з точки зору висвітлення рівня досягнення мети та виконання завдань в частині забезпечення гендерної рівності.</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64"/>
      <w:bookmarkEnd w:id="63"/>
      <w:r w:rsidRPr="00D47E1C">
        <w:rPr>
          <w:rFonts w:ascii="Times New Roman" w:eastAsia="Times New Roman" w:hAnsi="Times New Roman" w:cs="Times New Roman"/>
          <w:color w:val="333333"/>
          <w:sz w:val="24"/>
          <w:szCs w:val="24"/>
          <w:lang w:eastAsia="uk-UA"/>
        </w:rPr>
        <w:t>14. Дослідження публічних послуг, що надаються в межах бюджетної програми, може передбачати визначення та подальше вивчення і аналіз, зокрема:</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65"/>
      <w:bookmarkEnd w:id="64"/>
      <w:r w:rsidRPr="00D47E1C">
        <w:rPr>
          <w:rFonts w:ascii="Times New Roman" w:eastAsia="Times New Roman" w:hAnsi="Times New Roman" w:cs="Times New Roman"/>
          <w:color w:val="333333"/>
          <w:sz w:val="24"/>
          <w:szCs w:val="24"/>
          <w:lang w:eastAsia="uk-UA"/>
        </w:rPr>
        <w:t>цільових груп отримувачів послуг за ознакою статі та, у разі доцільності, за іншими ознаками: вік, місце проживання, стан здоров'я, етнічне походження, соціально-економічний статус тощо;</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66"/>
      <w:bookmarkEnd w:id="65"/>
      <w:r w:rsidRPr="00D47E1C">
        <w:rPr>
          <w:rFonts w:ascii="Times New Roman" w:eastAsia="Times New Roman" w:hAnsi="Times New Roman" w:cs="Times New Roman"/>
          <w:color w:val="333333"/>
          <w:sz w:val="24"/>
          <w:szCs w:val="24"/>
          <w:lang w:eastAsia="uk-UA"/>
        </w:rPr>
        <w:t>потреб та інтересів цільових груп отримувачів послуг;</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67"/>
      <w:bookmarkEnd w:id="66"/>
      <w:r w:rsidRPr="00D47E1C">
        <w:rPr>
          <w:rFonts w:ascii="Times New Roman" w:eastAsia="Times New Roman" w:hAnsi="Times New Roman" w:cs="Times New Roman"/>
          <w:color w:val="333333"/>
          <w:sz w:val="24"/>
          <w:szCs w:val="24"/>
          <w:lang w:eastAsia="uk-UA"/>
        </w:rPr>
        <w:t>обсягу та якості послуги з точки зору забезпечення потреб та задоволення інтересів цільових груп при наданні послуги;</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68"/>
      <w:bookmarkEnd w:id="67"/>
      <w:r w:rsidRPr="00D47E1C">
        <w:rPr>
          <w:rFonts w:ascii="Times New Roman" w:eastAsia="Times New Roman" w:hAnsi="Times New Roman" w:cs="Times New Roman"/>
          <w:color w:val="333333"/>
          <w:sz w:val="24"/>
          <w:szCs w:val="24"/>
          <w:lang w:eastAsia="uk-UA"/>
        </w:rPr>
        <w:t>рівня розвитку інфраструктури, створеної для надання послуги;</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69"/>
      <w:bookmarkEnd w:id="68"/>
      <w:r w:rsidRPr="00D47E1C">
        <w:rPr>
          <w:rFonts w:ascii="Times New Roman" w:eastAsia="Times New Roman" w:hAnsi="Times New Roman" w:cs="Times New Roman"/>
          <w:color w:val="333333"/>
          <w:sz w:val="24"/>
          <w:szCs w:val="24"/>
          <w:lang w:eastAsia="uk-UA"/>
        </w:rPr>
        <w:t>перешкод у доступі до послуги, в тому числі для жінок, чоловіків та/або їх груп;</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70"/>
      <w:bookmarkEnd w:id="69"/>
      <w:r w:rsidRPr="00D47E1C">
        <w:rPr>
          <w:rFonts w:ascii="Times New Roman" w:eastAsia="Times New Roman" w:hAnsi="Times New Roman" w:cs="Times New Roman"/>
          <w:color w:val="333333"/>
          <w:sz w:val="24"/>
          <w:szCs w:val="24"/>
          <w:lang w:eastAsia="uk-UA"/>
        </w:rPr>
        <w:t>частки населення, яка відповідно до законодавства може одержувати послугу, проте не користується нею;</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71"/>
      <w:bookmarkEnd w:id="70"/>
      <w:r w:rsidRPr="00D47E1C">
        <w:rPr>
          <w:rFonts w:ascii="Times New Roman" w:eastAsia="Times New Roman" w:hAnsi="Times New Roman" w:cs="Times New Roman"/>
          <w:color w:val="333333"/>
          <w:sz w:val="24"/>
          <w:szCs w:val="24"/>
          <w:lang w:eastAsia="uk-UA"/>
        </w:rPr>
        <w:t>цільових груп надавачів послуг за ознакою статі та, у разі доцільності, за іншими ознаками, зокрема за видами діяльності відповідно до службових обов'язків;</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72"/>
      <w:bookmarkEnd w:id="71"/>
      <w:r w:rsidRPr="00D47E1C">
        <w:rPr>
          <w:rFonts w:ascii="Times New Roman" w:eastAsia="Times New Roman" w:hAnsi="Times New Roman" w:cs="Times New Roman"/>
          <w:color w:val="333333"/>
          <w:sz w:val="24"/>
          <w:szCs w:val="24"/>
          <w:lang w:eastAsia="uk-UA"/>
        </w:rPr>
        <w:t>рівня забезпечення потреб надавачів послуги.</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73"/>
      <w:bookmarkEnd w:id="72"/>
      <w:r w:rsidRPr="00D47E1C">
        <w:rPr>
          <w:rFonts w:ascii="Times New Roman" w:eastAsia="Times New Roman" w:hAnsi="Times New Roman" w:cs="Times New Roman"/>
          <w:color w:val="333333"/>
          <w:sz w:val="24"/>
          <w:szCs w:val="24"/>
          <w:lang w:eastAsia="uk-UA"/>
        </w:rPr>
        <w:t>15. Дослідження надавачів публічних послуг може включати в себе аналіз складу працівників установ/організацій, відповідальних за надання послуг, та працівників, які безпосередньо забезпечують надання послуги, у тому числі аналіз кількості жінок і чоловіків на різних посадах.</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74"/>
      <w:bookmarkEnd w:id="73"/>
      <w:r w:rsidRPr="00D47E1C">
        <w:rPr>
          <w:rFonts w:ascii="Times New Roman" w:eastAsia="Times New Roman" w:hAnsi="Times New Roman" w:cs="Times New Roman"/>
          <w:color w:val="333333"/>
          <w:sz w:val="24"/>
          <w:szCs w:val="24"/>
          <w:lang w:eastAsia="uk-UA"/>
        </w:rPr>
        <w:t>16. Якщо бюджетна програма або окрема публічна послуга, що надається в межах бюджетної програми, орієнтована на все населення (наприклад, реалізація інвестиційних проектів, будівництво об'єктів інфраструктури) доцільно вжити заходів для визначення потенційних груп отримувачів публічних послуг, їх вигоди та інтереси щодо майбутнього соціального, економічного або іншого ефекту від реалізації програми, публічних послуг, умови для надання яких створюються за рахунок коштів бюджетної програми.</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75"/>
      <w:bookmarkEnd w:id="74"/>
      <w:r w:rsidRPr="00D47E1C">
        <w:rPr>
          <w:rFonts w:ascii="Times New Roman" w:eastAsia="Times New Roman" w:hAnsi="Times New Roman" w:cs="Times New Roman"/>
          <w:color w:val="333333"/>
          <w:sz w:val="24"/>
          <w:szCs w:val="24"/>
          <w:lang w:eastAsia="uk-UA"/>
        </w:rPr>
        <w:t>Для визначення потенційної вигоди можуть бути використані інформація, що міститься у державних програмах, державних інвестиційних проектах, що реалізуються в межах бюджетних програм, інформація щодо охоплення території України або її окремих регіонів заходами, що здійснюються під час реалізації програм, інформація та показники, на підставі яких головними розпорядниками визначено потребу у коштах, необхідних для реалізації програми тощо.</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76"/>
      <w:bookmarkEnd w:id="75"/>
      <w:r w:rsidRPr="00D47E1C">
        <w:rPr>
          <w:rFonts w:ascii="Times New Roman" w:eastAsia="Times New Roman" w:hAnsi="Times New Roman" w:cs="Times New Roman"/>
          <w:color w:val="333333"/>
          <w:sz w:val="24"/>
          <w:szCs w:val="24"/>
          <w:lang w:eastAsia="uk-UA"/>
        </w:rPr>
        <w:lastRenderedPageBreak/>
        <w:t>17. За результатами гендерного аналізу бюджетної програми можуть бути зроблені висновки щодо:</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 w:name="n77"/>
      <w:bookmarkEnd w:id="76"/>
      <w:r w:rsidRPr="00D47E1C">
        <w:rPr>
          <w:rFonts w:ascii="Times New Roman" w:eastAsia="Times New Roman" w:hAnsi="Times New Roman" w:cs="Times New Roman"/>
          <w:color w:val="333333"/>
          <w:sz w:val="24"/>
          <w:szCs w:val="24"/>
          <w:lang w:eastAsia="uk-UA"/>
        </w:rPr>
        <w:t>наявності та якості даних, необхідних для проведення гендерного аналізу бюджетної програми;</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 w:name="n78"/>
      <w:bookmarkEnd w:id="77"/>
      <w:r w:rsidRPr="00D47E1C">
        <w:rPr>
          <w:rFonts w:ascii="Times New Roman" w:eastAsia="Times New Roman" w:hAnsi="Times New Roman" w:cs="Times New Roman"/>
          <w:color w:val="333333"/>
          <w:sz w:val="24"/>
          <w:szCs w:val="24"/>
          <w:lang w:eastAsia="uk-UA"/>
        </w:rPr>
        <w:t>наявності та якості інформації та показників бюджетної програми, що висвітлюють гендерний аспект;</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79"/>
      <w:bookmarkEnd w:id="78"/>
      <w:r w:rsidRPr="00D47E1C">
        <w:rPr>
          <w:rFonts w:ascii="Times New Roman" w:eastAsia="Times New Roman" w:hAnsi="Times New Roman" w:cs="Times New Roman"/>
          <w:color w:val="333333"/>
          <w:sz w:val="24"/>
          <w:szCs w:val="24"/>
          <w:lang w:eastAsia="uk-UA"/>
        </w:rPr>
        <w:t>відповідності бюджетної програми взятим Україною зобов'язанням щодо гендерної рівності, вимогам нормативно-правових актів, які містять інформацію про гендерну рівність, в тому числі її відповідності завданням стратегічних і програмних документів держави з гендерних питань;</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 w:name="n80"/>
      <w:bookmarkEnd w:id="79"/>
      <w:r w:rsidRPr="00D47E1C">
        <w:rPr>
          <w:rFonts w:ascii="Times New Roman" w:eastAsia="Times New Roman" w:hAnsi="Times New Roman" w:cs="Times New Roman"/>
          <w:color w:val="333333"/>
          <w:sz w:val="24"/>
          <w:szCs w:val="24"/>
          <w:lang w:eastAsia="uk-UA"/>
        </w:rPr>
        <w:t>стану врахування у бюджетній програмі гендерних аспектів;</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 w:name="n81"/>
      <w:bookmarkEnd w:id="80"/>
      <w:r w:rsidRPr="00D47E1C">
        <w:rPr>
          <w:rFonts w:ascii="Times New Roman" w:eastAsia="Times New Roman" w:hAnsi="Times New Roman" w:cs="Times New Roman"/>
          <w:color w:val="333333"/>
          <w:sz w:val="24"/>
          <w:szCs w:val="24"/>
          <w:lang w:eastAsia="uk-UA"/>
        </w:rPr>
        <w:t>виявлених гендерних розривів, гендерної дискримінації, негативних тенденцій при забезпеченні потреб та задоволенні інтересів жінок, чоловіків та/або їх груп;</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 w:name="n82"/>
      <w:bookmarkEnd w:id="81"/>
      <w:r w:rsidRPr="00D47E1C">
        <w:rPr>
          <w:rFonts w:ascii="Times New Roman" w:eastAsia="Times New Roman" w:hAnsi="Times New Roman" w:cs="Times New Roman"/>
          <w:color w:val="333333"/>
          <w:sz w:val="24"/>
          <w:szCs w:val="24"/>
          <w:lang w:eastAsia="uk-UA"/>
        </w:rPr>
        <w:t>забезпечення справедливого та неупередженого розподілу бюджетних коштів при плануванні та виконанні бюджетної програми, наданні публічних послуг.</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 w:name="n83"/>
      <w:bookmarkEnd w:id="82"/>
      <w:r w:rsidRPr="00D47E1C">
        <w:rPr>
          <w:rFonts w:ascii="Times New Roman" w:eastAsia="Times New Roman" w:hAnsi="Times New Roman" w:cs="Times New Roman"/>
          <w:color w:val="333333"/>
          <w:sz w:val="24"/>
          <w:szCs w:val="24"/>
          <w:lang w:eastAsia="uk-UA"/>
        </w:rPr>
        <w:t>На основі висновків, зроблених за результатами гендерного аналізу бюджетної програми, рекомендується розробити пропозиції, які можуть, зокрема, передбачати:</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84"/>
      <w:bookmarkEnd w:id="83"/>
      <w:r w:rsidRPr="00D47E1C">
        <w:rPr>
          <w:rFonts w:ascii="Times New Roman" w:eastAsia="Times New Roman" w:hAnsi="Times New Roman" w:cs="Times New Roman"/>
          <w:color w:val="333333"/>
          <w:sz w:val="24"/>
          <w:szCs w:val="24"/>
          <w:lang w:eastAsia="uk-UA"/>
        </w:rPr>
        <w:t>шляхи врахування гендерного аспекту у бюджетній програмі та відповідні характеристики для включення до неї;</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 w:name="n85"/>
      <w:bookmarkEnd w:id="84"/>
      <w:r w:rsidRPr="00D47E1C">
        <w:rPr>
          <w:rFonts w:ascii="Times New Roman" w:eastAsia="Times New Roman" w:hAnsi="Times New Roman" w:cs="Times New Roman"/>
          <w:color w:val="333333"/>
          <w:sz w:val="24"/>
          <w:szCs w:val="24"/>
          <w:lang w:eastAsia="uk-UA"/>
        </w:rPr>
        <w:t xml:space="preserve">заходи з подальшого впровадження та застосування </w:t>
      </w:r>
      <w:proofErr w:type="spellStart"/>
      <w:r w:rsidRPr="00D47E1C">
        <w:rPr>
          <w:rFonts w:ascii="Times New Roman" w:eastAsia="Times New Roman" w:hAnsi="Times New Roman" w:cs="Times New Roman"/>
          <w:color w:val="333333"/>
          <w:sz w:val="24"/>
          <w:szCs w:val="24"/>
          <w:lang w:eastAsia="uk-UA"/>
        </w:rPr>
        <w:t>гендерно</w:t>
      </w:r>
      <w:proofErr w:type="spellEnd"/>
      <w:r w:rsidRPr="00D47E1C">
        <w:rPr>
          <w:rFonts w:ascii="Times New Roman" w:eastAsia="Times New Roman" w:hAnsi="Times New Roman" w:cs="Times New Roman"/>
          <w:color w:val="333333"/>
          <w:sz w:val="24"/>
          <w:szCs w:val="24"/>
          <w:lang w:eastAsia="uk-UA"/>
        </w:rPr>
        <w:t xml:space="preserve"> орієнтованого підходу в бюджетному процесі;</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86"/>
      <w:bookmarkEnd w:id="85"/>
      <w:r w:rsidRPr="00D47E1C">
        <w:rPr>
          <w:rFonts w:ascii="Times New Roman" w:eastAsia="Times New Roman" w:hAnsi="Times New Roman" w:cs="Times New Roman"/>
          <w:color w:val="333333"/>
          <w:sz w:val="24"/>
          <w:szCs w:val="24"/>
          <w:lang w:eastAsia="uk-UA"/>
        </w:rPr>
        <w:t>заходи із зменшення гендерних розривів, усунення гендерної дискримінації, забезпечення потреб, задоволення інтересів жінок і чоловіків та/або їх груп, що можуть бути вжиті головним розпорядником;</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 w:name="n87"/>
      <w:bookmarkEnd w:id="86"/>
      <w:r w:rsidRPr="00D47E1C">
        <w:rPr>
          <w:rFonts w:ascii="Times New Roman" w:eastAsia="Times New Roman" w:hAnsi="Times New Roman" w:cs="Times New Roman"/>
          <w:color w:val="333333"/>
          <w:sz w:val="24"/>
          <w:szCs w:val="24"/>
          <w:lang w:eastAsia="uk-UA"/>
        </w:rPr>
        <w:t>вдосконалення процесу збору та обробки даних, запровадження нових та/або перегляд існуючих форм статистичної та адміністративної звітності.</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 w:name="n88"/>
      <w:bookmarkEnd w:id="87"/>
      <w:r w:rsidRPr="00D47E1C">
        <w:rPr>
          <w:rFonts w:ascii="Times New Roman" w:eastAsia="Times New Roman" w:hAnsi="Times New Roman" w:cs="Times New Roman"/>
          <w:color w:val="333333"/>
          <w:sz w:val="24"/>
          <w:szCs w:val="24"/>
          <w:lang w:eastAsia="uk-UA"/>
        </w:rPr>
        <w:t>За результатами гендерного аналізу бюджетної програми рекомендується узагальнити інформацію за формою у </w:t>
      </w:r>
      <w:hyperlink r:id="rId19" w:anchor="n104" w:history="1">
        <w:r w:rsidRPr="00D47E1C">
          <w:rPr>
            <w:rFonts w:ascii="Times New Roman" w:eastAsia="Times New Roman" w:hAnsi="Times New Roman" w:cs="Times New Roman"/>
            <w:color w:val="006600"/>
            <w:sz w:val="24"/>
            <w:szCs w:val="24"/>
            <w:u w:val="single"/>
            <w:lang w:eastAsia="uk-UA"/>
          </w:rPr>
          <w:t>додатку 2</w:t>
        </w:r>
      </w:hyperlink>
      <w:r w:rsidRPr="00D47E1C">
        <w:rPr>
          <w:rFonts w:ascii="Times New Roman" w:eastAsia="Times New Roman" w:hAnsi="Times New Roman" w:cs="Times New Roman"/>
          <w:color w:val="333333"/>
          <w:sz w:val="24"/>
          <w:szCs w:val="24"/>
          <w:lang w:eastAsia="uk-UA"/>
        </w:rPr>
        <w:t> до цих Методичних рекомендацій.</w:t>
      </w:r>
    </w:p>
    <w:p w:rsidR="00D47E1C" w:rsidRPr="00D47E1C" w:rsidRDefault="00D47E1C" w:rsidP="00D47E1C">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88" w:name="n89"/>
      <w:bookmarkEnd w:id="88"/>
      <w:r w:rsidRPr="00D47E1C">
        <w:rPr>
          <w:rFonts w:ascii="Times New Roman" w:eastAsia="Times New Roman" w:hAnsi="Times New Roman" w:cs="Times New Roman"/>
          <w:b/>
          <w:bCs/>
          <w:color w:val="333333"/>
          <w:sz w:val="28"/>
          <w:szCs w:val="28"/>
          <w:lang w:eastAsia="uk-UA"/>
        </w:rPr>
        <w:t>IV. Прийняття рішень за результатами гендерного аналізу бюджетної програми</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 w:name="n90"/>
      <w:bookmarkEnd w:id="89"/>
      <w:r w:rsidRPr="00D47E1C">
        <w:rPr>
          <w:rFonts w:ascii="Times New Roman" w:eastAsia="Times New Roman" w:hAnsi="Times New Roman" w:cs="Times New Roman"/>
          <w:color w:val="333333"/>
          <w:sz w:val="24"/>
          <w:szCs w:val="24"/>
          <w:lang w:eastAsia="uk-UA"/>
        </w:rPr>
        <w:t>18. На основі висновків та пропозицій, розроблених за результатами гендерного аналізу бюджетної програми, головними розпорядниками та іншими учасниками бюджетного процесу приймаються рішення відповідно до компетенції.</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 w:name="n91"/>
      <w:bookmarkEnd w:id="90"/>
      <w:r w:rsidRPr="00D47E1C">
        <w:rPr>
          <w:rFonts w:ascii="Times New Roman" w:eastAsia="Times New Roman" w:hAnsi="Times New Roman" w:cs="Times New Roman"/>
          <w:color w:val="333333"/>
          <w:sz w:val="24"/>
          <w:szCs w:val="24"/>
          <w:lang w:eastAsia="uk-UA"/>
        </w:rPr>
        <w:t>19. Рішення за результатами гендерного аналізу бюджетної програми приймаються з урахуванням бюджетних призначень, встановлених законом про Державний бюджет України на відповідний рік (рішенням про місцевий бюджет), та/або фінансових обмежень на плановий та наступні за плановим два бюджетні періоди, визначених відповідно до законодавства.</w:t>
      </w:r>
    </w:p>
    <w:p w:rsidR="00D47E1C" w:rsidRPr="00D47E1C" w:rsidRDefault="00D47E1C" w:rsidP="00D47E1C">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91" w:name="n92"/>
      <w:bookmarkEnd w:id="91"/>
      <w:r w:rsidRPr="00D47E1C">
        <w:rPr>
          <w:rFonts w:ascii="Times New Roman" w:eastAsia="Times New Roman" w:hAnsi="Times New Roman" w:cs="Times New Roman"/>
          <w:b/>
          <w:bCs/>
          <w:color w:val="333333"/>
          <w:sz w:val="28"/>
          <w:szCs w:val="28"/>
          <w:lang w:eastAsia="uk-UA"/>
        </w:rPr>
        <w:t xml:space="preserve">V. Моніторинг </w:t>
      </w:r>
      <w:proofErr w:type="spellStart"/>
      <w:r w:rsidRPr="00D47E1C">
        <w:rPr>
          <w:rFonts w:ascii="Times New Roman" w:eastAsia="Times New Roman" w:hAnsi="Times New Roman" w:cs="Times New Roman"/>
          <w:b/>
          <w:bCs/>
          <w:color w:val="333333"/>
          <w:sz w:val="28"/>
          <w:szCs w:val="28"/>
          <w:lang w:eastAsia="uk-UA"/>
        </w:rPr>
        <w:t>гендерно</w:t>
      </w:r>
      <w:proofErr w:type="spellEnd"/>
      <w:r w:rsidRPr="00D47E1C">
        <w:rPr>
          <w:rFonts w:ascii="Times New Roman" w:eastAsia="Times New Roman" w:hAnsi="Times New Roman" w:cs="Times New Roman"/>
          <w:b/>
          <w:bCs/>
          <w:color w:val="333333"/>
          <w:sz w:val="28"/>
          <w:szCs w:val="28"/>
          <w:lang w:eastAsia="uk-UA"/>
        </w:rPr>
        <w:t xml:space="preserve"> чутливих бюджетних програм</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 w:name="n93"/>
      <w:bookmarkEnd w:id="92"/>
      <w:r w:rsidRPr="00D47E1C">
        <w:rPr>
          <w:rFonts w:ascii="Times New Roman" w:eastAsia="Times New Roman" w:hAnsi="Times New Roman" w:cs="Times New Roman"/>
          <w:color w:val="333333"/>
          <w:sz w:val="24"/>
          <w:szCs w:val="24"/>
          <w:lang w:eastAsia="uk-UA"/>
        </w:rPr>
        <w:t xml:space="preserve">20. Головним розпорядникам та іншим учасникам бюджетного процесу рекомендується здійснювати в межах своїх повноважень моніторинг </w:t>
      </w:r>
      <w:proofErr w:type="spellStart"/>
      <w:r w:rsidRPr="00D47E1C">
        <w:rPr>
          <w:rFonts w:ascii="Times New Roman" w:eastAsia="Times New Roman" w:hAnsi="Times New Roman" w:cs="Times New Roman"/>
          <w:color w:val="333333"/>
          <w:sz w:val="24"/>
          <w:szCs w:val="24"/>
          <w:lang w:eastAsia="uk-UA"/>
        </w:rPr>
        <w:t>гендерно</w:t>
      </w:r>
      <w:proofErr w:type="spellEnd"/>
      <w:r w:rsidRPr="00D47E1C">
        <w:rPr>
          <w:rFonts w:ascii="Times New Roman" w:eastAsia="Times New Roman" w:hAnsi="Times New Roman" w:cs="Times New Roman"/>
          <w:color w:val="333333"/>
          <w:sz w:val="24"/>
          <w:szCs w:val="24"/>
          <w:lang w:eastAsia="uk-UA"/>
        </w:rPr>
        <w:t xml:space="preserve"> чутливих бюджетних програм з точки зору зменшення гендерних розривів, усунення гендерної дискримінації, забезпечення потреб, задоволення інтересів жінок і чоловіків та/або їх груп у процесі реалізації бюджетної програми.</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 w:name="n94"/>
      <w:bookmarkEnd w:id="93"/>
      <w:r w:rsidRPr="00D47E1C">
        <w:rPr>
          <w:rFonts w:ascii="Times New Roman" w:eastAsia="Times New Roman" w:hAnsi="Times New Roman" w:cs="Times New Roman"/>
          <w:color w:val="333333"/>
          <w:sz w:val="24"/>
          <w:szCs w:val="24"/>
          <w:lang w:eastAsia="uk-UA"/>
        </w:rPr>
        <w:lastRenderedPageBreak/>
        <w:t xml:space="preserve">21. Основними завданнями моніторингу є відстеження на систематичній основі стану виконання </w:t>
      </w:r>
      <w:proofErr w:type="spellStart"/>
      <w:r w:rsidRPr="00D47E1C">
        <w:rPr>
          <w:rFonts w:ascii="Times New Roman" w:eastAsia="Times New Roman" w:hAnsi="Times New Roman" w:cs="Times New Roman"/>
          <w:color w:val="333333"/>
          <w:sz w:val="24"/>
          <w:szCs w:val="24"/>
          <w:lang w:eastAsia="uk-UA"/>
        </w:rPr>
        <w:t>гендерно</w:t>
      </w:r>
      <w:proofErr w:type="spellEnd"/>
      <w:r w:rsidRPr="00D47E1C">
        <w:rPr>
          <w:rFonts w:ascii="Times New Roman" w:eastAsia="Times New Roman" w:hAnsi="Times New Roman" w:cs="Times New Roman"/>
          <w:color w:val="333333"/>
          <w:sz w:val="24"/>
          <w:szCs w:val="24"/>
          <w:lang w:eastAsia="uk-UA"/>
        </w:rPr>
        <w:t xml:space="preserve"> чутливих бюджетних програм та отримання актуальної інформації, необхідної для прийняття управлінських рішень.</w:t>
      </w:r>
    </w:p>
    <w:p w:rsidR="00D47E1C" w:rsidRPr="00D47E1C" w:rsidRDefault="00D47E1C" w:rsidP="00D47E1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 w:name="n95"/>
      <w:bookmarkEnd w:id="94"/>
      <w:r w:rsidRPr="00D47E1C">
        <w:rPr>
          <w:rFonts w:ascii="Times New Roman" w:eastAsia="Times New Roman" w:hAnsi="Times New Roman" w:cs="Times New Roman"/>
          <w:color w:val="333333"/>
          <w:sz w:val="24"/>
          <w:szCs w:val="24"/>
          <w:lang w:eastAsia="uk-UA"/>
        </w:rPr>
        <w:t>Дані, отримані в процесі моніторингу, враховуються при проведенні гендерного аналізу бюджетних програм у подальшому.</w:t>
      </w:r>
    </w:p>
    <w:tbl>
      <w:tblPr>
        <w:tblW w:w="5000" w:type="pct"/>
        <w:tblCellMar>
          <w:left w:w="0" w:type="dxa"/>
          <w:right w:w="0" w:type="dxa"/>
        </w:tblCellMar>
        <w:tblLook w:val="04A0" w:firstRow="1" w:lastRow="0" w:firstColumn="1" w:lastColumn="0" w:noHBand="0" w:noVBand="1"/>
      </w:tblPr>
      <w:tblGrid>
        <w:gridCol w:w="4051"/>
        <w:gridCol w:w="289"/>
        <w:gridCol w:w="5305"/>
      </w:tblGrid>
      <w:tr w:rsidR="00D47E1C" w:rsidRPr="00D47E1C" w:rsidTr="00D47E1C">
        <w:tc>
          <w:tcPr>
            <w:tcW w:w="2100" w:type="pct"/>
            <w:tcBorders>
              <w:top w:val="single" w:sz="2" w:space="0" w:color="auto"/>
              <w:left w:val="single" w:sz="2" w:space="0" w:color="auto"/>
              <w:bottom w:val="single" w:sz="2" w:space="0" w:color="auto"/>
              <w:right w:val="single" w:sz="2" w:space="0" w:color="auto"/>
            </w:tcBorders>
            <w:hideMark/>
          </w:tcPr>
          <w:p w:rsidR="00D47E1C" w:rsidRPr="00D47E1C" w:rsidRDefault="00D47E1C" w:rsidP="00D47E1C">
            <w:pPr>
              <w:spacing w:before="300" w:after="150" w:line="240" w:lineRule="auto"/>
              <w:jc w:val="center"/>
              <w:rPr>
                <w:rFonts w:ascii="Times New Roman" w:eastAsia="Times New Roman" w:hAnsi="Times New Roman" w:cs="Times New Roman"/>
                <w:sz w:val="24"/>
                <w:szCs w:val="24"/>
                <w:lang w:eastAsia="uk-UA"/>
              </w:rPr>
            </w:pPr>
            <w:bookmarkStart w:id="95" w:name="n96"/>
            <w:bookmarkEnd w:id="95"/>
            <w:r w:rsidRPr="00D47E1C">
              <w:rPr>
                <w:rFonts w:ascii="Times New Roman" w:eastAsia="Times New Roman" w:hAnsi="Times New Roman" w:cs="Times New Roman"/>
                <w:b/>
                <w:bCs/>
                <w:sz w:val="24"/>
                <w:szCs w:val="24"/>
                <w:lang w:eastAsia="uk-UA"/>
              </w:rPr>
              <w:t>Директор Департаменту</w:t>
            </w:r>
            <w:r w:rsidRPr="00D47E1C">
              <w:rPr>
                <w:rFonts w:ascii="Times New Roman" w:eastAsia="Times New Roman" w:hAnsi="Times New Roman" w:cs="Times New Roman"/>
                <w:sz w:val="24"/>
                <w:szCs w:val="24"/>
                <w:lang w:eastAsia="uk-UA"/>
              </w:rPr>
              <w:br/>
            </w:r>
            <w:r w:rsidRPr="00D47E1C">
              <w:rPr>
                <w:rFonts w:ascii="Times New Roman" w:eastAsia="Times New Roman" w:hAnsi="Times New Roman" w:cs="Times New Roman"/>
                <w:b/>
                <w:bCs/>
                <w:sz w:val="24"/>
                <w:szCs w:val="24"/>
                <w:lang w:eastAsia="uk-UA"/>
              </w:rPr>
              <w:t>державного бюджету</w:t>
            </w:r>
          </w:p>
        </w:tc>
        <w:tc>
          <w:tcPr>
            <w:tcW w:w="3500" w:type="pct"/>
            <w:gridSpan w:val="2"/>
            <w:tcBorders>
              <w:top w:val="single" w:sz="2" w:space="0" w:color="auto"/>
              <w:left w:val="single" w:sz="2" w:space="0" w:color="auto"/>
              <w:bottom w:val="single" w:sz="2" w:space="0" w:color="auto"/>
              <w:right w:val="single" w:sz="2" w:space="0" w:color="auto"/>
            </w:tcBorders>
            <w:hideMark/>
          </w:tcPr>
          <w:p w:rsidR="00D47E1C" w:rsidRPr="00D47E1C" w:rsidRDefault="00D47E1C" w:rsidP="00D47E1C">
            <w:pPr>
              <w:spacing w:before="300" w:after="0" w:line="240" w:lineRule="auto"/>
              <w:jc w:val="right"/>
              <w:rPr>
                <w:rFonts w:ascii="Times New Roman" w:eastAsia="Times New Roman" w:hAnsi="Times New Roman" w:cs="Times New Roman"/>
                <w:sz w:val="24"/>
                <w:szCs w:val="24"/>
                <w:lang w:eastAsia="uk-UA"/>
              </w:rPr>
            </w:pPr>
            <w:r w:rsidRPr="00D47E1C">
              <w:rPr>
                <w:rFonts w:ascii="Times New Roman" w:eastAsia="Times New Roman" w:hAnsi="Times New Roman" w:cs="Times New Roman"/>
                <w:sz w:val="24"/>
                <w:szCs w:val="24"/>
                <w:lang w:eastAsia="uk-UA"/>
              </w:rPr>
              <w:br/>
            </w:r>
            <w:r w:rsidRPr="00D47E1C">
              <w:rPr>
                <w:rFonts w:ascii="Times New Roman" w:eastAsia="Times New Roman" w:hAnsi="Times New Roman" w:cs="Times New Roman"/>
                <w:b/>
                <w:bCs/>
                <w:sz w:val="24"/>
                <w:szCs w:val="24"/>
                <w:lang w:eastAsia="uk-UA"/>
              </w:rPr>
              <w:t xml:space="preserve">В.П. </w:t>
            </w:r>
            <w:proofErr w:type="spellStart"/>
            <w:r w:rsidRPr="00D47E1C">
              <w:rPr>
                <w:rFonts w:ascii="Times New Roman" w:eastAsia="Times New Roman" w:hAnsi="Times New Roman" w:cs="Times New Roman"/>
                <w:b/>
                <w:bCs/>
                <w:sz w:val="24"/>
                <w:szCs w:val="24"/>
                <w:lang w:eastAsia="uk-UA"/>
              </w:rPr>
              <w:t>Лозицький</w:t>
            </w:r>
            <w:proofErr w:type="spellEnd"/>
          </w:p>
        </w:tc>
      </w:tr>
      <w:tr w:rsidR="00D47E1C" w:rsidRPr="00D47E1C" w:rsidTr="00D47E1C">
        <w:tc>
          <w:tcPr>
            <w:tcW w:w="2250" w:type="pct"/>
            <w:gridSpan w:val="2"/>
            <w:tcBorders>
              <w:top w:val="single" w:sz="2" w:space="0" w:color="auto"/>
              <w:left w:val="single" w:sz="2" w:space="0" w:color="auto"/>
              <w:bottom w:val="single" w:sz="2" w:space="0" w:color="auto"/>
              <w:right w:val="single" w:sz="2" w:space="0" w:color="auto"/>
            </w:tcBorders>
            <w:hideMark/>
          </w:tcPr>
          <w:p w:rsidR="00D47E1C" w:rsidRPr="00D47E1C" w:rsidRDefault="00D47E1C" w:rsidP="00D47E1C">
            <w:pPr>
              <w:spacing w:before="150" w:after="150" w:line="240" w:lineRule="auto"/>
              <w:rPr>
                <w:rFonts w:ascii="Times New Roman" w:eastAsia="Times New Roman" w:hAnsi="Times New Roman" w:cs="Times New Roman"/>
                <w:sz w:val="24"/>
                <w:szCs w:val="24"/>
                <w:lang w:eastAsia="uk-UA"/>
              </w:rPr>
            </w:pPr>
            <w:bookmarkStart w:id="96" w:name="n106"/>
            <w:bookmarkStart w:id="97" w:name="n97"/>
            <w:bookmarkEnd w:id="96"/>
            <w:bookmarkEnd w:id="97"/>
          </w:p>
        </w:tc>
        <w:tc>
          <w:tcPr>
            <w:tcW w:w="2000" w:type="pct"/>
            <w:tcBorders>
              <w:top w:val="single" w:sz="2" w:space="0" w:color="auto"/>
              <w:left w:val="single" w:sz="2" w:space="0" w:color="auto"/>
              <w:bottom w:val="single" w:sz="2" w:space="0" w:color="auto"/>
              <w:right w:val="single" w:sz="2" w:space="0" w:color="auto"/>
            </w:tcBorders>
            <w:hideMark/>
          </w:tcPr>
          <w:p w:rsidR="00D47E1C" w:rsidRPr="00D47E1C" w:rsidRDefault="00D47E1C" w:rsidP="00D47E1C">
            <w:pPr>
              <w:spacing w:before="150" w:after="150" w:line="240" w:lineRule="auto"/>
              <w:rPr>
                <w:rFonts w:ascii="Times New Roman" w:eastAsia="Times New Roman" w:hAnsi="Times New Roman" w:cs="Times New Roman"/>
                <w:sz w:val="24"/>
                <w:szCs w:val="24"/>
                <w:lang w:eastAsia="uk-UA"/>
              </w:rPr>
            </w:pPr>
            <w:r w:rsidRPr="00D47E1C">
              <w:rPr>
                <w:rFonts w:ascii="Times New Roman" w:eastAsia="Times New Roman" w:hAnsi="Times New Roman" w:cs="Times New Roman"/>
                <w:sz w:val="24"/>
                <w:szCs w:val="24"/>
                <w:lang w:eastAsia="uk-UA"/>
              </w:rPr>
              <w:t>Додаток 1</w:t>
            </w:r>
            <w:r w:rsidRPr="00D47E1C">
              <w:rPr>
                <w:rFonts w:ascii="Times New Roman" w:eastAsia="Times New Roman" w:hAnsi="Times New Roman" w:cs="Times New Roman"/>
                <w:sz w:val="24"/>
                <w:szCs w:val="24"/>
                <w:lang w:eastAsia="uk-UA"/>
              </w:rPr>
              <w:br/>
              <w:t>до Методичних рекомендацій</w:t>
            </w:r>
          </w:p>
        </w:tc>
      </w:tr>
    </w:tbl>
    <w:p w:rsidR="00D47E1C" w:rsidRPr="00D47E1C" w:rsidRDefault="00D47E1C" w:rsidP="00D47E1C">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98" w:name="n98"/>
      <w:bookmarkEnd w:id="98"/>
      <w:r w:rsidRPr="00D47E1C">
        <w:rPr>
          <w:rFonts w:ascii="Times New Roman" w:eastAsia="Times New Roman" w:hAnsi="Times New Roman" w:cs="Times New Roman"/>
          <w:b/>
          <w:bCs/>
          <w:color w:val="333333"/>
          <w:sz w:val="28"/>
          <w:szCs w:val="28"/>
          <w:lang w:eastAsia="uk-UA"/>
        </w:rPr>
        <w:t>РЕКОМЕНДОВАНА ФОРМА</w:t>
      </w:r>
      <w:r w:rsidRPr="00D47E1C">
        <w:rPr>
          <w:rFonts w:ascii="Times New Roman" w:eastAsia="Times New Roman" w:hAnsi="Times New Roman" w:cs="Times New Roman"/>
          <w:color w:val="333333"/>
          <w:sz w:val="24"/>
          <w:szCs w:val="24"/>
          <w:lang w:eastAsia="uk-UA"/>
        </w:rPr>
        <w:br/>
      </w:r>
      <w:r w:rsidRPr="00D47E1C">
        <w:rPr>
          <w:rFonts w:ascii="Times New Roman" w:eastAsia="Times New Roman" w:hAnsi="Times New Roman" w:cs="Times New Roman"/>
          <w:b/>
          <w:bCs/>
          <w:color w:val="333333"/>
          <w:sz w:val="28"/>
          <w:szCs w:val="28"/>
          <w:lang w:eastAsia="uk-UA"/>
        </w:rPr>
        <w:t>оформлення результатів огляду нормативно-правових актів та інших документів, які містять інформацію про гендерну рівність</w:t>
      </w:r>
    </w:p>
    <w:p w:rsidR="00D47E1C" w:rsidRPr="00D47E1C" w:rsidRDefault="00D47E1C" w:rsidP="00D47E1C">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99" w:name="n99"/>
      <w:bookmarkEnd w:id="99"/>
      <w:r w:rsidRPr="00D47E1C">
        <w:rPr>
          <w:rFonts w:ascii="Times New Roman" w:eastAsia="Times New Roman" w:hAnsi="Times New Roman" w:cs="Times New Roman"/>
          <w:b/>
          <w:bCs/>
          <w:color w:val="333333"/>
          <w:sz w:val="24"/>
          <w:szCs w:val="24"/>
          <w:lang w:eastAsia="uk-UA"/>
        </w:rPr>
        <w:t>Результати огляду нормативно-правових актів та інших документів,</w:t>
      </w:r>
      <w:r w:rsidRPr="00D47E1C">
        <w:rPr>
          <w:rFonts w:ascii="Times New Roman" w:eastAsia="Times New Roman" w:hAnsi="Times New Roman" w:cs="Times New Roman"/>
          <w:color w:val="333333"/>
          <w:sz w:val="24"/>
          <w:szCs w:val="24"/>
          <w:lang w:eastAsia="uk-UA"/>
        </w:rPr>
        <w:br/>
      </w:r>
      <w:r w:rsidRPr="00D47E1C">
        <w:rPr>
          <w:rFonts w:ascii="Times New Roman" w:eastAsia="Times New Roman" w:hAnsi="Times New Roman" w:cs="Times New Roman"/>
          <w:b/>
          <w:bCs/>
          <w:color w:val="333333"/>
          <w:sz w:val="24"/>
          <w:szCs w:val="24"/>
          <w:lang w:eastAsia="uk-UA"/>
        </w:rPr>
        <w:t>які містять інформацію про гендерну рівність, у ______ році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125"/>
        <w:gridCol w:w="4544"/>
      </w:tblGrid>
      <w:tr w:rsidR="00D47E1C" w:rsidRPr="00D47E1C" w:rsidTr="00D47E1C">
        <w:tc>
          <w:tcPr>
            <w:tcW w:w="2650" w:type="pct"/>
            <w:tcBorders>
              <w:top w:val="single" w:sz="6" w:space="0" w:color="000000"/>
              <w:left w:val="single" w:sz="6" w:space="0" w:color="000000"/>
              <w:bottom w:val="single" w:sz="6" w:space="0" w:color="000000"/>
              <w:right w:val="single" w:sz="6" w:space="0" w:color="000000"/>
            </w:tcBorders>
            <w:hideMark/>
          </w:tcPr>
          <w:p w:rsidR="00D47E1C" w:rsidRPr="00D47E1C" w:rsidRDefault="00D47E1C" w:rsidP="00D47E1C">
            <w:pPr>
              <w:spacing w:before="150" w:after="150" w:line="240" w:lineRule="auto"/>
              <w:jc w:val="center"/>
              <w:rPr>
                <w:rFonts w:ascii="Times New Roman" w:eastAsia="Times New Roman" w:hAnsi="Times New Roman" w:cs="Times New Roman"/>
                <w:sz w:val="24"/>
                <w:szCs w:val="24"/>
                <w:lang w:eastAsia="uk-UA"/>
              </w:rPr>
            </w:pPr>
            <w:bookmarkStart w:id="100" w:name="n100"/>
            <w:bookmarkEnd w:id="100"/>
            <w:r w:rsidRPr="00D47E1C">
              <w:rPr>
                <w:rFonts w:ascii="Times New Roman" w:eastAsia="Times New Roman" w:hAnsi="Times New Roman" w:cs="Times New Roman"/>
                <w:sz w:val="24"/>
                <w:szCs w:val="24"/>
                <w:lang w:eastAsia="uk-UA"/>
              </w:rPr>
              <w:t>Нормативно-правові акти/документи</w:t>
            </w:r>
          </w:p>
        </w:tc>
        <w:tc>
          <w:tcPr>
            <w:tcW w:w="2350" w:type="pct"/>
            <w:tcBorders>
              <w:top w:val="single" w:sz="6" w:space="0" w:color="000000"/>
              <w:left w:val="single" w:sz="6" w:space="0" w:color="000000"/>
              <w:bottom w:val="single" w:sz="6" w:space="0" w:color="000000"/>
              <w:right w:val="single" w:sz="6" w:space="0" w:color="000000"/>
            </w:tcBorders>
            <w:hideMark/>
          </w:tcPr>
          <w:p w:rsidR="00D47E1C" w:rsidRPr="00D47E1C" w:rsidRDefault="00D47E1C" w:rsidP="00D47E1C">
            <w:pPr>
              <w:spacing w:before="150" w:after="150" w:line="240" w:lineRule="auto"/>
              <w:jc w:val="center"/>
              <w:rPr>
                <w:rFonts w:ascii="Times New Roman" w:eastAsia="Times New Roman" w:hAnsi="Times New Roman" w:cs="Times New Roman"/>
                <w:sz w:val="24"/>
                <w:szCs w:val="24"/>
                <w:lang w:eastAsia="uk-UA"/>
              </w:rPr>
            </w:pPr>
            <w:r w:rsidRPr="00D47E1C">
              <w:rPr>
                <w:rFonts w:ascii="Times New Roman" w:eastAsia="Times New Roman" w:hAnsi="Times New Roman" w:cs="Times New Roman"/>
                <w:sz w:val="24"/>
                <w:szCs w:val="24"/>
                <w:lang w:eastAsia="uk-UA"/>
              </w:rPr>
              <w:t>Вимоги / індикатори / дані*</w:t>
            </w:r>
          </w:p>
        </w:tc>
      </w:tr>
      <w:tr w:rsidR="00D47E1C" w:rsidRPr="00D47E1C" w:rsidTr="00D47E1C">
        <w:tc>
          <w:tcPr>
            <w:tcW w:w="2650" w:type="pct"/>
            <w:tcBorders>
              <w:top w:val="single" w:sz="6" w:space="0" w:color="000000"/>
              <w:left w:val="single" w:sz="6" w:space="0" w:color="000000"/>
              <w:bottom w:val="single" w:sz="6" w:space="0" w:color="000000"/>
              <w:right w:val="single" w:sz="6" w:space="0" w:color="000000"/>
            </w:tcBorders>
            <w:hideMark/>
          </w:tcPr>
          <w:p w:rsidR="00D47E1C" w:rsidRPr="00D47E1C" w:rsidRDefault="00D47E1C" w:rsidP="00D47E1C">
            <w:pPr>
              <w:spacing w:after="0" w:line="240" w:lineRule="auto"/>
              <w:rPr>
                <w:rFonts w:ascii="Times New Roman" w:eastAsia="Times New Roman" w:hAnsi="Times New Roman" w:cs="Times New Roman"/>
                <w:sz w:val="24"/>
                <w:szCs w:val="24"/>
                <w:lang w:eastAsia="uk-UA"/>
              </w:rPr>
            </w:pPr>
          </w:p>
        </w:tc>
        <w:tc>
          <w:tcPr>
            <w:tcW w:w="2350" w:type="pct"/>
            <w:tcBorders>
              <w:top w:val="single" w:sz="6" w:space="0" w:color="000000"/>
              <w:left w:val="single" w:sz="6" w:space="0" w:color="000000"/>
              <w:bottom w:val="single" w:sz="6" w:space="0" w:color="000000"/>
              <w:right w:val="single" w:sz="6" w:space="0" w:color="000000"/>
            </w:tcBorders>
            <w:hideMark/>
          </w:tcPr>
          <w:p w:rsidR="00D47E1C" w:rsidRPr="00D47E1C" w:rsidRDefault="00D47E1C" w:rsidP="00D47E1C">
            <w:pPr>
              <w:spacing w:after="0" w:line="240" w:lineRule="auto"/>
              <w:rPr>
                <w:rFonts w:ascii="Times New Roman" w:eastAsia="Times New Roman" w:hAnsi="Times New Roman" w:cs="Times New Roman"/>
                <w:sz w:val="24"/>
                <w:szCs w:val="24"/>
                <w:lang w:eastAsia="uk-UA"/>
              </w:rPr>
            </w:pPr>
          </w:p>
        </w:tc>
      </w:tr>
      <w:tr w:rsidR="00D47E1C" w:rsidRPr="00D47E1C" w:rsidTr="00D47E1C">
        <w:tc>
          <w:tcPr>
            <w:tcW w:w="2650" w:type="pct"/>
            <w:tcBorders>
              <w:top w:val="single" w:sz="6" w:space="0" w:color="000000"/>
              <w:left w:val="single" w:sz="6" w:space="0" w:color="000000"/>
              <w:bottom w:val="single" w:sz="6" w:space="0" w:color="000000"/>
              <w:right w:val="single" w:sz="6" w:space="0" w:color="000000"/>
            </w:tcBorders>
            <w:hideMark/>
          </w:tcPr>
          <w:p w:rsidR="00D47E1C" w:rsidRPr="00D47E1C" w:rsidRDefault="00D47E1C" w:rsidP="00D47E1C">
            <w:pPr>
              <w:spacing w:after="0" w:line="240" w:lineRule="auto"/>
              <w:rPr>
                <w:rFonts w:ascii="Times New Roman" w:eastAsia="Times New Roman" w:hAnsi="Times New Roman" w:cs="Times New Roman"/>
                <w:sz w:val="24"/>
                <w:szCs w:val="24"/>
                <w:lang w:eastAsia="uk-UA"/>
              </w:rPr>
            </w:pPr>
          </w:p>
        </w:tc>
        <w:tc>
          <w:tcPr>
            <w:tcW w:w="2350" w:type="pct"/>
            <w:tcBorders>
              <w:top w:val="single" w:sz="6" w:space="0" w:color="000000"/>
              <w:left w:val="single" w:sz="6" w:space="0" w:color="000000"/>
              <w:bottom w:val="single" w:sz="6" w:space="0" w:color="000000"/>
              <w:right w:val="single" w:sz="6" w:space="0" w:color="000000"/>
            </w:tcBorders>
            <w:hideMark/>
          </w:tcPr>
          <w:p w:rsidR="00D47E1C" w:rsidRPr="00D47E1C" w:rsidRDefault="00D47E1C" w:rsidP="00D47E1C">
            <w:pPr>
              <w:spacing w:after="0" w:line="240" w:lineRule="auto"/>
              <w:rPr>
                <w:rFonts w:ascii="Times New Roman" w:eastAsia="Times New Roman" w:hAnsi="Times New Roman" w:cs="Times New Roman"/>
                <w:sz w:val="24"/>
                <w:szCs w:val="24"/>
                <w:lang w:eastAsia="uk-UA"/>
              </w:rPr>
            </w:pPr>
          </w:p>
        </w:tc>
      </w:tr>
    </w:tbl>
    <w:p w:rsidR="00D47E1C" w:rsidRPr="00D47E1C" w:rsidRDefault="00D47E1C" w:rsidP="00D47E1C">
      <w:pPr>
        <w:shd w:val="clear" w:color="auto" w:fill="FFFFFF"/>
        <w:spacing w:before="150" w:after="150" w:line="240" w:lineRule="auto"/>
        <w:rPr>
          <w:rFonts w:ascii="Times New Roman" w:eastAsia="Times New Roman" w:hAnsi="Times New Roman" w:cs="Times New Roman"/>
          <w:color w:val="333333"/>
          <w:sz w:val="24"/>
          <w:szCs w:val="24"/>
          <w:lang w:eastAsia="uk-UA"/>
        </w:rPr>
      </w:pPr>
      <w:bookmarkStart w:id="101" w:name="n101"/>
      <w:bookmarkEnd w:id="101"/>
      <w:r w:rsidRPr="00D47E1C">
        <w:rPr>
          <w:rFonts w:ascii="Times New Roman" w:eastAsia="Times New Roman" w:hAnsi="Times New Roman" w:cs="Times New Roman"/>
          <w:color w:val="333333"/>
          <w:sz w:val="24"/>
          <w:szCs w:val="24"/>
          <w:lang w:eastAsia="uk-UA"/>
        </w:rPr>
        <w:t>___________________ дата</w:t>
      </w:r>
    </w:p>
    <w:p w:rsidR="00D47E1C" w:rsidRPr="00D47E1C" w:rsidRDefault="00D47E1C" w:rsidP="00D47E1C">
      <w:pPr>
        <w:shd w:val="clear" w:color="auto" w:fill="FFFFFF"/>
        <w:spacing w:before="150" w:after="150" w:line="240" w:lineRule="auto"/>
        <w:rPr>
          <w:rFonts w:ascii="Times New Roman" w:eastAsia="Times New Roman" w:hAnsi="Times New Roman" w:cs="Times New Roman"/>
          <w:color w:val="333333"/>
          <w:sz w:val="24"/>
          <w:szCs w:val="24"/>
          <w:lang w:eastAsia="uk-UA"/>
        </w:rPr>
      </w:pPr>
      <w:bookmarkStart w:id="102" w:name="n102"/>
      <w:bookmarkEnd w:id="102"/>
      <w:r w:rsidRPr="00D47E1C">
        <w:rPr>
          <w:rFonts w:ascii="Times New Roman" w:eastAsia="Times New Roman" w:hAnsi="Times New Roman" w:cs="Times New Roman"/>
          <w:color w:val="333333"/>
          <w:sz w:val="20"/>
          <w:szCs w:val="20"/>
          <w:lang w:eastAsia="uk-UA"/>
        </w:rPr>
        <w:t>__________</w:t>
      </w:r>
      <w:r w:rsidRPr="00D47E1C">
        <w:rPr>
          <w:rFonts w:ascii="Times New Roman" w:eastAsia="Times New Roman" w:hAnsi="Times New Roman" w:cs="Times New Roman"/>
          <w:color w:val="333333"/>
          <w:sz w:val="24"/>
          <w:szCs w:val="24"/>
          <w:lang w:eastAsia="uk-UA"/>
        </w:rPr>
        <w:br/>
      </w:r>
      <w:r w:rsidRPr="00D47E1C">
        <w:rPr>
          <w:rFonts w:ascii="Times New Roman" w:eastAsia="Times New Roman" w:hAnsi="Times New Roman" w:cs="Times New Roman"/>
          <w:color w:val="333333"/>
          <w:sz w:val="20"/>
          <w:szCs w:val="20"/>
          <w:lang w:eastAsia="uk-UA"/>
        </w:rPr>
        <w:t>* з урахуванням пункту 7 Методичних рекомендацій.</w:t>
      </w:r>
    </w:p>
    <w:p w:rsidR="00D47E1C" w:rsidRPr="00D47E1C" w:rsidRDefault="0026735C" w:rsidP="00D47E1C">
      <w:pPr>
        <w:spacing w:after="0" w:line="240" w:lineRule="auto"/>
        <w:rPr>
          <w:rFonts w:ascii="Times New Roman" w:eastAsia="Times New Roman" w:hAnsi="Times New Roman" w:cs="Times New Roman"/>
          <w:sz w:val="24"/>
          <w:szCs w:val="24"/>
          <w:lang w:eastAsia="uk-UA"/>
        </w:rPr>
      </w:pPr>
      <w:bookmarkStart w:id="103" w:name="n107"/>
      <w:bookmarkEnd w:id="103"/>
      <w:r>
        <w:rPr>
          <w:rFonts w:ascii="Times New Roman" w:eastAsia="Times New Roman" w:hAnsi="Times New Roman" w:cs="Times New Roman"/>
          <w:sz w:val="24"/>
          <w:szCs w:val="24"/>
          <w:lang w:eastAsia="uk-UA"/>
        </w:rPr>
        <w:pict>
          <v:rect id="_x0000_i1026"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106"/>
        <w:gridCol w:w="4539"/>
      </w:tblGrid>
      <w:tr w:rsidR="00D47E1C" w:rsidRPr="00D47E1C" w:rsidTr="00D47E1C">
        <w:tc>
          <w:tcPr>
            <w:tcW w:w="2250" w:type="pct"/>
            <w:tcBorders>
              <w:top w:val="single" w:sz="2" w:space="0" w:color="auto"/>
              <w:left w:val="single" w:sz="2" w:space="0" w:color="auto"/>
              <w:bottom w:val="single" w:sz="2" w:space="0" w:color="auto"/>
              <w:right w:val="single" w:sz="2" w:space="0" w:color="auto"/>
            </w:tcBorders>
            <w:hideMark/>
          </w:tcPr>
          <w:p w:rsidR="00D47E1C" w:rsidRPr="00D47E1C" w:rsidRDefault="00D47E1C" w:rsidP="00D47E1C">
            <w:pPr>
              <w:spacing w:before="150" w:after="150" w:line="240" w:lineRule="auto"/>
              <w:rPr>
                <w:rFonts w:ascii="Times New Roman" w:eastAsia="Times New Roman" w:hAnsi="Times New Roman" w:cs="Times New Roman"/>
                <w:sz w:val="24"/>
                <w:szCs w:val="24"/>
                <w:lang w:eastAsia="uk-UA"/>
              </w:rPr>
            </w:pPr>
            <w:bookmarkStart w:id="104" w:name="n103"/>
            <w:bookmarkEnd w:id="104"/>
          </w:p>
        </w:tc>
        <w:tc>
          <w:tcPr>
            <w:tcW w:w="2000" w:type="pct"/>
            <w:tcBorders>
              <w:top w:val="single" w:sz="2" w:space="0" w:color="auto"/>
              <w:left w:val="single" w:sz="2" w:space="0" w:color="auto"/>
              <w:bottom w:val="single" w:sz="2" w:space="0" w:color="auto"/>
              <w:right w:val="single" w:sz="2" w:space="0" w:color="auto"/>
            </w:tcBorders>
            <w:hideMark/>
          </w:tcPr>
          <w:p w:rsidR="00D47E1C" w:rsidRPr="00D47E1C" w:rsidRDefault="00D47E1C" w:rsidP="00D47E1C">
            <w:pPr>
              <w:spacing w:before="150" w:after="150" w:line="240" w:lineRule="auto"/>
              <w:rPr>
                <w:rFonts w:ascii="Times New Roman" w:eastAsia="Times New Roman" w:hAnsi="Times New Roman" w:cs="Times New Roman"/>
                <w:sz w:val="24"/>
                <w:szCs w:val="24"/>
                <w:lang w:eastAsia="uk-UA"/>
              </w:rPr>
            </w:pPr>
            <w:r w:rsidRPr="00D47E1C">
              <w:rPr>
                <w:rFonts w:ascii="Times New Roman" w:eastAsia="Times New Roman" w:hAnsi="Times New Roman" w:cs="Times New Roman"/>
                <w:sz w:val="24"/>
                <w:szCs w:val="24"/>
                <w:lang w:eastAsia="uk-UA"/>
              </w:rPr>
              <w:t>Додаток 2</w:t>
            </w:r>
            <w:r w:rsidRPr="00D47E1C">
              <w:rPr>
                <w:rFonts w:ascii="Times New Roman" w:eastAsia="Times New Roman" w:hAnsi="Times New Roman" w:cs="Times New Roman"/>
                <w:sz w:val="24"/>
                <w:szCs w:val="24"/>
                <w:lang w:eastAsia="uk-UA"/>
              </w:rPr>
              <w:br/>
              <w:t>до Методичних рекомендацій</w:t>
            </w:r>
          </w:p>
        </w:tc>
      </w:tr>
    </w:tbl>
    <w:bookmarkStart w:id="105" w:name="n104"/>
    <w:bookmarkEnd w:id="105"/>
    <w:p w:rsidR="00D47E1C" w:rsidRPr="00D47E1C" w:rsidRDefault="00D47E1C" w:rsidP="00D47E1C">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D47E1C">
        <w:rPr>
          <w:rFonts w:ascii="Times New Roman" w:eastAsia="Times New Roman" w:hAnsi="Times New Roman" w:cs="Times New Roman"/>
          <w:color w:val="333333"/>
          <w:sz w:val="24"/>
          <w:szCs w:val="24"/>
          <w:lang w:eastAsia="uk-UA"/>
        </w:rPr>
        <w:fldChar w:fldCharType="begin"/>
      </w:r>
      <w:r w:rsidRPr="00D47E1C">
        <w:rPr>
          <w:rFonts w:ascii="Times New Roman" w:eastAsia="Times New Roman" w:hAnsi="Times New Roman" w:cs="Times New Roman"/>
          <w:color w:val="333333"/>
          <w:sz w:val="24"/>
          <w:szCs w:val="24"/>
          <w:lang w:eastAsia="uk-UA"/>
        </w:rPr>
        <w:instrText xml:space="preserve"> HYPERLINK "https://zakon.rada.gov.ua/rada/file/text/69/f480566n108.doc" </w:instrText>
      </w:r>
      <w:r w:rsidRPr="00D47E1C">
        <w:rPr>
          <w:rFonts w:ascii="Times New Roman" w:eastAsia="Times New Roman" w:hAnsi="Times New Roman" w:cs="Times New Roman"/>
          <w:color w:val="333333"/>
          <w:sz w:val="24"/>
          <w:szCs w:val="24"/>
          <w:lang w:eastAsia="uk-UA"/>
        </w:rPr>
        <w:fldChar w:fldCharType="separate"/>
      </w:r>
      <w:r w:rsidRPr="00D47E1C">
        <w:rPr>
          <w:rFonts w:ascii="Times New Roman" w:eastAsia="Times New Roman" w:hAnsi="Times New Roman" w:cs="Times New Roman"/>
          <w:b/>
          <w:bCs/>
          <w:color w:val="C00909"/>
          <w:sz w:val="28"/>
          <w:szCs w:val="28"/>
          <w:u w:val="single"/>
          <w:lang w:eastAsia="uk-UA"/>
        </w:rPr>
        <w:t>РЕКОМЕНДОВАНА ФОРМА</w:t>
      </w:r>
      <w:r w:rsidRPr="00D47E1C">
        <w:rPr>
          <w:rFonts w:ascii="Times New Roman" w:eastAsia="Times New Roman" w:hAnsi="Times New Roman" w:cs="Times New Roman"/>
          <w:color w:val="333333"/>
          <w:sz w:val="24"/>
          <w:szCs w:val="24"/>
          <w:lang w:eastAsia="uk-UA"/>
        </w:rPr>
        <w:fldChar w:fldCharType="end"/>
      </w:r>
      <w:r w:rsidRPr="00D47E1C">
        <w:rPr>
          <w:rFonts w:ascii="Times New Roman" w:eastAsia="Times New Roman" w:hAnsi="Times New Roman" w:cs="Times New Roman"/>
          <w:color w:val="333333"/>
          <w:sz w:val="24"/>
          <w:szCs w:val="24"/>
          <w:lang w:eastAsia="uk-UA"/>
        </w:rPr>
        <w:br/>
      </w:r>
      <w:r w:rsidRPr="00D47E1C">
        <w:rPr>
          <w:rFonts w:ascii="Times New Roman" w:eastAsia="Times New Roman" w:hAnsi="Times New Roman" w:cs="Times New Roman"/>
          <w:b/>
          <w:bCs/>
          <w:color w:val="333333"/>
          <w:sz w:val="28"/>
          <w:szCs w:val="28"/>
          <w:lang w:eastAsia="uk-UA"/>
        </w:rPr>
        <w:t>оформлення результатів гендерного аналізу бюджетної програми</w:t>
      </w:r>
    </w:p>
    <w:p w:rsidR="00BE21F4" w:rsidRDefault="00BE21F4"/>
    <w:sectPr w:rsidR="00BE21F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E1C"/>
    <w:rsid w:val="0026735C"/>
    <w:rsid w:val="004A73E5"/>
    <w:rsid w:val="00BE21F4"/>
    <w:rsid w:val="00D47E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D47E1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D47E1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D47E1C"/>
  </w:style>
  <w:style w:type="character" w:customStyle="1" w:styleId="rvts23">
    <w:name w:val="rvts23"/>
    <w:basedOn w:val="a0"/>
    <w:rsid w:val="00D47E1C"/>
  </w:style>
  <w:style w:type="paragraph" w:customStyle="1" w:styleId="rvps7">
    <w:name w:val="rvps7"/>
    <w:basedOn w:val="a"/>
    <w:rsid w:val="00D47E1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D47E1C"/>
  </w:style>
  <w:style w:type="paragraph" w:customStyle="1" w:styleId="rvps6">
    <w:name w:val="rvps6"/>
    <w:basedOn w:val="a"/>
    <w:rsid w:val="00D47E1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D47E1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D47E1C"/>
    <w:rPr>
      <w:color w:val="0000FF"/>
      <w:u w:val="single"/>
    </w:rPr>
  </w:style>
  <w:style w:type="character" w:customStyle="1" w:styleId="rvts52">
    <w:name w:val="rvts52"/>
    <w:basedOn w:val="a0"/>
    <w:rsid w:val="00D47E1C"/>
  </w:style>
  <w:style w:type="character" w:customStyle="1" w:styleId="rvts44">
    <w:name w:val="rvts44"/>
    <w:basedOn w:val="a0"/>
    <w:rsid w:val="00D47E1C"/>
  </w:style>
  <w:style w:type="paragraph" w:customStyle="1" w:styleId="rvps15">
    <w:name w:val="rvps15"/>
    <w:basedOn w:val="a"/>
    <w:rsid w:val="00D47E1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D47E1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D47E1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D47E1C"/>
  </w:style>
  <w:style w:type="paragraph" w:styleId="a4">
    <w:name w:val="Balloon Text"/>
    <w:basedOn w:val="a"/>
    <w:link w:val="a5"/>
    <w:uiPriority w:val="99"/>
    <w:semiHidden/>
    <w:unhideWhenUsed/>
    <w:rsid w:val="002673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73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D47E1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D47E1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D47E1C"/>
  </w:style>
  <w:style w:type="character" w:customStyle="1" w:styleId="rvts23">
    <w:name w:val="rvts23"/>
    <w:basedOn w:val="a0"/>
    <w:rsid w:val="00D47E1C"/>
  </w:style>
  <w:style w:type="paragraph" w:customStyle="1" w:styleId="rvps7">
    <w:name w:val="rvps7"/>
    <w:basedOn w:val="a"/>
    <w:rsid w:val="00D47E1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D47E1C"/>
  </w:style>
  <w:style w:type="paragraph" w:customStyle="1" w:styleId="rvps6">
    <w:name w:val="rvps6"/>
    <w:basedOn w:val="a"/>
    <w:rsid w:val="00D47E1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D47E1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D47E1C"/>
    <w:rPr>
      <w:color w:val="0000FF"/>
      <w:u w:val="single"/>
    </w:rPr>
  </w:style>
  <w:style w:type="character" w:customStyle="1" w:styleId="rvts52">
    <w:name w:val="rvts52"/>
    <w:basedOn w:val="a0"/>
    <w:rsid w:val="00D47E1C"/>
  </w:style>
  <w:style w:type="character" w:customStyle="1" w:styleId="rvts44">
    <w:name w:val="rvts44"/>
    <w:basedOn w:val="a0"/>
    <w:rsid w:val="00D47E1C"/>
  </w:style>
  <w:style w:type="paragraph" w:customStyle="1" w:styleId="rvps15">
    <w:name w:val="rvps15"/>
    <w:basedOn w:val="a"/>
    <w:rsid w:val="00D47E1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D47E1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D47E1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D47E1C"/>
  </w:style>
  <w:style w:type="paragraph" w:styleId="a4">
    <w:name w:val="Balloon Text"/>
    <w:basedOn w:val="a"/>
    <w:link w:val="a5"/>
    <w:uiPriority w:val="99"/>
    <w:semiHidden/>
    <w:unhideWhenUsed/>
    <w:rsid w:val="002673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73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010142">
      <w:bodyDiv w:val="1"/>
      <w:marLeft w:val="0"/>
      <w:marRight w:val="0"/>
      <w:marTop w:val="0"/>
      <w:marBottom w:val="0"/>
      <w:divBdr>
        <w:top w:val="none" w:sz="0" w:space="0" w:color="auto"/>
        <w:left w:val="none" w:sz="0" w:space="0" w:color="auto"/>
        <w:bottom w:val="none" w:sz="0" w:space="0" w:color="auto"/>
        <w:right w:val="none" w:sz="0" w:space="0" w:color="auto"/>
      </w:divBdr>
      <w:divsChild>
        <w:div w:id="1597903926">
          <w:marLeft w:val="0"/>
          <w:marRight w:val="0"/>
          <w:marTop w:val="150"/>
          <w:marBottom w:val="150"/>
          <w:divBdr>
            <w:top w:val="none" w:sz="0" w:space="0" w:color="auto"/>
            <w:left w:val="none" w:sz="0" w:space="0" w:color="auto"/>
            <w:bottom w:val="none" w:sz="0" w:space="0" w:color="auto"/>
            <w:right w:val="none" w:sz="0" w:space="0" w:color="auto"/>
          </w:divBdr>
        </w:div>
        <w:div w:id="1866475715">
          <w:marLeft w:val="0"/>
          <w:marRight w:val="0"/>
          <w:marTop w:val="0"/>
          <w:marBottom w:val="150"/>
          <w:divBdr>
            <w:top w:val="none" w:sz="0" w:space="0" w:color="auto"/>
            <w:left w:val="none" w:sz="0" w:space="0" w:color="auto"/>
            <w:bottom w:val="none" w:sz="0" w:space="0" w:color="auto"/>
            <w:right w:val="none" w:sz="0" w:space="0" w:color="auto"/>
          </w:divBdr>
        </w:div>
        <w:div w:id="1544099571">
          <w:marLeft w:val="0"/>
          <w:marRight w:val="0"/>
          <w:marTop w:val="0"/>
          <w:marBottom w:val="150"/>
          <w:divBdr>
            <w:top w:val="none" w:sz="0" w:space="0" w:color="auto"/>
            <w:left w:val="none" w:sz="0" w:space="0" w:color="auto"/>
            <w:bottom w:val="none" w:sz="0" w:space="0" w:color="auto"/>
            <w:right w:val="none" w:sz="0" w:space="0" w:color="auto"/>
          </w:divBdr>
        </w:div>
        <w:div w:id="942112089">
          <w:marLeft w:val="0"/>
          <w:marRight w:val="0"/>
          <w:marTop w:val="0"/>
          <w:marBottom w:val="150"/>
          <w:divBdr>
            <w:top w:val="none" w:sz="0" w:space="0" w:color="auto"/>
            <w:left w:val="none" w:sz="0" w:space="0" w:color="auto"/>
            <w:bottom w:val="none" w:sz="0" w:space="0" w:color="auto"/>
            <w:right w:val="none" w:sz="0" w:space="0" w:color="auto"/>
          </w:divBdr>
        </w:div>
        <w:div w:id="951588614">
          <w:marLeft w:val="0"/>
          <w:marRight w:val="0"/>
          <w:marTop w:val="0"/>
          <w:marBottom w:val="150"/>
          <w:divBdr>
            <w:top w:val="none" w:sz="0" w:space="0" w:color="auto"/>
            <w:left w:val="none" w:sz="0" w:space="0" w:color="auto"/>
            <w:bottom w:val="none" w:sz="0" w:space="0" w:color="auto"/>
            <w:right w:val="none" w:sz="0" w:space="0" w:color="auto"/>
          </w:divBdr>
        </w:div>
        <w:div w:id="40993371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142-2017-%D1%80" TargetMode="External"/><Relationship Id="rId13" Type="http://schemas.openxmlformats.org/officeDocument/2006/relationships/hyperlink" Target="https://zakon.rada.gov.ua/rada/show/2229-19" TargetMode="External"/><Relationship Id="rId18" Type="http://schemas.openxmlformats.org/officeDocument/2006/relationships/hyperlink" Target="https://zakon.rada.gov.ua/rada/show/v0001201-1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rada/show/v0001201-19" TargetMode="External"/><Relationship Id="rId12" Type="http://schemas.openxmlformats.org/officeDocument/2006/relationships/hyperlink" Target="https://zakon.rada.gov.ua/rada/show/5207-17" TargetMode="External"/><Relationship Id="rId17" Type="http://schemas.openxmlformats.org/officeDocument/2006/relationships/hyperlink" Target="https://zakon.rada.gov.ua/rada/show/995_507" TargetMode="External"/><Relationship Id="rId2" Type="http://schemas.microsoft.com/office/2007/relationships/stylesWithEffects" Target="stylesWithEffects.xml"/><Relationship Id="rId16" Type="http://schemas.openxmlformats.org/officeDocument/2006/relationships/hyperlink" Target="https://zakon.rada.gov.ua/rada/show/995_207"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rada/show/142-2017-%D1%80" TargetMode="External"/><Relationship Id="rId11" Type="http://schemas.openxmlformats.org/officeDocument/2006/relationships/hyperlink" Target="https://zakon.rada.gov.ua/rada/show/2866-15" TargetMode="External"/><Relationship Id="rId5" Type="http://schemas.openxmlformats.org/officeDocument/2006/relationships/image" Target="media/image1.png"/><Relationship Id="rId15" Type="http://schemas.openxmlformats.org/officeDocument/2006/relationships/hyperlink" Target="https://zakon.rada.gov.ua/rada/show/997-2018-%D0%BF" TargetMode="External"/><Relationship Id="rId10" Type="http://schemas.openxmlformats.org/officeDocument/2006/relationships/hyperlink" Target="https://zakon.rada.gov.ua/rada/show/2866-15" TargetMode="External"/><Relationship Id="rId19" Type="http://schemas.openxmlformats.org/officeDocument/2006/relationships/hyperlink" Target="https://zakon.rada.gov.ua/rada/show/v0001201-19" TargetMode="External"/><Relationship Id="rId4" Type="http://schemas.openxmlformats.org/officeDocument/2006/relationships/webSettings" Target="webSettings.xml"/><Relationship Id="rId9" Type="http://schemas.openxmlformats.org/officeDocument/2006/relationships/hyperlink" Target="https://zakon.rada.gov.ua/rada/show/2456-17" TargetMode="External"/><Relationship Id="rId14" Type="http://schemas.openxmlformats.org/officeDocument/2006/relationships/hyperlink" Target="https://zakon.rada.gov.ua/rada/show/37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12361</Words>
  <Characters>7047</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2021-09-15T13:35:00Z</dcterms:created>
  <dcterms:modified xsi:type="dcterms:W3CDTF">2021-09-24T06:50:00Z</dcterms:modified>
</cp:coreProperties>
</file>